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spacing w:after="120"/>
        <w:rPr>
          <w:rFonts w:eastAsia="宋体" w:cs="Arial"/>
          <w:sz w:val="22"/>
          <w:szCs w:val="22"/>
          <w:lang w:eastAsia="zh-CN"/>
        </w:rPr>
      </w:pPr>
      <w:bookmarkStart w:id="2" w:name="_GoBack"/>
      <w:bookmarkEnd w:id="2"/>
      <w:r>
        <w:rPr>
          <w:rFonts w:cs="Arial"/>
          <w:sz w:val="22"/>
          <w:szCs w:val="22"/>
        </w:rPr>
        <w:t>3GPP TSG RAN WG1</w:t>
      </w:r>
      <w:r>
        <w:rPr>
          <w:rFonts w:cs="Arial" w:eastAsiaTheme="minorEastAsia"/>
          <w:sz w:val="22"/>
          <w:szCs w:val="22"/>
          <w:lang w:eastAsia="zh-CN"/>
        </w:rPr>
        <w:t xml:space="preserve"> </w:t>
      </w:r>
      <w:r>
        <w:rPr>
          <w:rFonts w:cs="Arial"/>
          <w:sz w:val="22"/>
          <w:szCs w:val="22"/>
        </w:rPr>
        <w:t>Meeting #10</w:t>
      </w:r>
      <w:r>
        <w:rPr>
          <w:rFonts w:hint="eastAsia" w:eastAsia="宋体" w:cs="Arial"/>
          <w:sz w:val="22"/>
          <w:szCs w:val="22"/>
          <w:lang w:eastAsia="zh-CN"/>
        </w:rPr>
        <w:t>7-</w:t>
      </w:r>
      <w:r>
        <w:rPr>
          <w:rFonts w:cs="Arial"/>
          <w:sz w:val="22"/>
          <w:szCs w:val="22"/>
        </w:rPr>
        <w:t xml:space="preserve">e                                                              </w:t>
      </w:r>
      <w:r>
        <w:rPr>
          <w:rFonts w:hint="eastAsia" w:eastAsia="宋体" w:cs="Arial"/>
          <w:sz w:val="22"/>
          <w:szCs w:val="22"/>
          <w:lang w:eastAsia="zh-CN"/>
        </w:rPr>
        <w:t xml:space="preserve"> </w:t>
      </w:r>
      <w:r>
        <w:rPr>
          <w:rFonts w:cs="Arial"/>
          <w:sz w:val="22"/>
          <w:szCs w:val="22"/>
        </w:rPr>
        <w:t>R1-2</w:t>
      </w:r>
      <w:r>
        <w:rPr>
          <w:rFonts w:hint="eastAsia" w:eastAsia="宋体" w:cs="Arial"/>
          <w:sz w:val="22"/>
          <w:szCs w:val="22"/>
          <w:lang w:eastAsia="zh-CN"/>
        </w:rPr>
        <w:t>110955</w:t>
      </w:r>
    </w:p>
    <w:p>
      <w:pPr>
        <w:snapToGrid w:val="0"/>
        <w:spacing w:after="120" w:line="240" w:lineRule="auto"/>
        <w:rPr>
          <w:rFonts w:ascii="Arial" w:hAnsi="Arial" w:cs="Arial"/>
          <w:b/>
          <w:sz w:val="22"/>
          <w:szCs w:val="22"/>
        </w:rPr>
      </w:pPr>
      <w:r>
        <w:rPr>
          <w:rFonts w:ascii="Arial" w:hAnsi="Arial" w:cs="Arial"/>
          <w:b/>
          <w:sz w:val="22"/>
          <w:szCs w:val="22"/>
          <w:lang w:eastAsia="ja-JP"/>
        </w:rPr>
        <w:t xml:space="preserve">e-Meeting, </w:t>
      </w:r>
      <w:r>
        <w:rPr>
          <w:rFonts w:hint="eastAsia" w:ascii="Arial" w:hAnsi="Arial" w:cs="Arial"/>
          <w:b/>
          <w:sz w:val="22"/>
          <w:szCs w:val="22"/>
        </w:rPr>
        <w:t>November</w:t>
      </w:r>
      <w:r>
        <w:rPr>
          <w:rFonts w:ascii="Arial" w:hAnsi="Arial" w:cs="Arial"/>
          <w:b/>
          <w:sz w:val="22"/>
          <w:szCs w:val="22"/>
        </w:rPr>
        <w:t xml:space="preserve"> </w:t>
      </w:r>
      <w:r>
        <w:rPr>
          <w:rFonts w:hint="eastAsia" w:ascii="Arial" w:hAnsi="Arial" w:cs="Arial"/>
          <w:b/>
          <w:sz w:val="22"/>
          <w:szCs w:val="22"/>
        </w:rPr>
        <w:t>11</w:t>
      </w:r>
      <w:r>
        <w:rPr>
          <w:rFonts w:ascii="Arial" w:hAnsi="Arial" w:cs="Arial"/>
          <w:b/>
          <w:sz w:val="22"/>
          <w:szCs w:val="22"/>
          <w:vertAlign w:val="superscript"/>
          <w:lang w:eastAsia="ja-JP"/>
        </w:rPr>
        <w:t>th</w:t>
      </w:r>
      <w:r>
        <w:rPr>
          <w:rFonts w:ascii="Arial" w:hAnsi="Arial" w:cs="Arial"/>
          <w:b/>
          <w:sz w:val="22"/>
          <w:szCs w:val="22"/>
          <w:lang w:eastAsia="ja-JP"/>
        </w:rPr>
        <w:t>–</w:t>
      </w:r>
      <w:r>
        <w:rPr>
          <w:rFonts w:hint="eastAsia" w:ascii="Arial" w:hAnsi="Arial" w:cs="Arial"/>
          <w:b/>
          <w:sz w:val="22"/>
          <w:szCs w:val="22"/>
        </w:rPr>
        <w:t>19</w:t>
      </w:r>
      <w:r>
        <w:rPr>
          <w:rFonts w:ascii="Arial" w:hAnsi="Arial" w:cs="Arial"/>
          <w:b/>
          <w:sz w:val="22"/>
          <w:szCs w:val="22"/>
          <w:vertAlign w:val="superscript"/>
        </w:rPr>
        <w:t>th</w:t>
      </w:r>
      <w:r>
        <w:rPr>
          <w:rFonts w:ascii="Arial" w:hAnsi="Arial" w:cs="Arial"/>
          <w:b/>
          <w:sz w:val="22"/>
          <w:szCs w:val="22"/>
          <w:lang w:eastAsia="ja-JP"/>
        </w:rPr>
        <w:t>, 202</w:t>
      </w:r>
      <w:r>
        <w:rPr>
          <w:rFonts w:hint="eastAsia" w:ascii="Arial" w:hAnsi="Arial" w:cs="Arial"/>
          <w:b/>
          <w:sz w:val="22"/>
          <w:szCs w:val="22"/>
        </w:rPr>
        <w:t>1</w:t>
      </w:r>
    </w:p>
    <w:p>
      <w:pPr>
        <w:snapToGrid w:val="0"/>
        <w:spacing w:after="120" w:line="240" w:lineRule="auto"/>
        <w:rPr>
          <w:rFonts w:ascii="Arial" w:hAnsi="Arial" w:eastAsia="MS Mincho" w:cs="Arial"/>
          <w:b/>
          <w:sz w:val="22"/>
          <w:szCs w:val="22"/>
          <w:lang w:eastAsia="ja-JP"/>
        </w:rPr>
      </w:pPr>
      <w:r>
        <w:rPr>
          <w:rFonts w:ascii="Arial" w:hAnsi="Arial" w:eastAsia="MS Mincho" w:cs="Arial"/>
          <w:b/>
          <w:sz w:val="22"/>
          <w:szCs w:val="22"/>
          <w:lang w:eastAsia="ja-JP"/>
        </w:rPr>
        <w:t>Source:              ZTE</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Title:                   Further details on Multi-beam and Multi-TRP operation</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8.1.5</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Bdr>
          <w:bottom w:val="single" w:color="auto" w:sz="4" w:space="1"/>
        </w:pBdr>
        <w:tabs>
          <w:tab w:val="left" w:pos="2552"/>
        </w:tabs>
        <w:snapToGrid w:val="0"/>
        <w:spacing w:after="120" w:line="240" w:lineRule="auto"/>
        <w:rPr>
          <w:sz w:val="4"/>
          <w:szCs w:val="4"/>
        </w:rPr>
      </w:pPr>
    </w:p>
    <w:p>
      <w:pPr>
        <w:pStyle w:val="2"/>
        <w:spacing w:before="240" w:after="120"/>
        <w:rPr>
          <w:lang w:val="en-US"/>
        </w:rPr>
      </w:pPr>
      <w:r>
        <w:rPr>
          <w:lang w:val="en-US"/>
        </w:rPr>
        <w:t>Introduction</w:t>
      </w:r>
    </w:p>
    <w:p>
      <w:pPr>
        <w:spacing w:after="120"/>
      </w:pPr>
      <w:r>
        <w:rPr>
          <w:rFonts w:hint="eastAsia"/>
        </w:rPr>
        <w:t>In Rel-1</w:t>
      </w:r>
      <w:r>
        <w:t>7</w:t>
      </w:r>
      <w:r>
        <w:rPr>
          <w:rFonts w:hint="eastAsia"/>
        </w:rPr>
        <w:t xml:space="preserve"> NR, in order to </w:t>
      </w:r>
      <w:r>
        <w:t>enhance</w:t>
      </w:r>
      <w:r>
        <w:rPr>
          <w:rFonts w:hint="eastAsia"/>
        </w:rPr>
        <w:t xml:space="preserve"> the performance of </w:t>
      </w:r>
      <w:r>
        <w:t>m</w:t>
      </w:r>
      <w:r>
        <w:rPr>
          <w:rFonts w:hint="eastAsia"/>
        </w:rPr>
        <w:t xml:space="preserve">ulti-beam and </w:t>
      </w:r>
      <w:r>
        <w:t>m</w:t>
      </w:r>
      <w:r>
        <w:rPr>
          <w:rFonts w:hint="eastAsia"/>
        </w:rPr>
        <w:t xml:space="preserve">ulti-TRP operation, some solutions have been designed and agreed accordingly. Regarding the enhancement on </w:t>
      </w:r>
      <w:r>
        <w:t>m</w:t>
      </w:r>
      <w:r>
        <w:rPr>
          <w:rFonts w:hint="eastAsia"/>
        </w:rPr>
        <w:t>u</w:t>
      </w:r>
      <w:r>
        <w:t>l</w:t>
      </w:r>
      <w:r>
        <w:rPr>
          <w:rFonts w:hint="eastAsia"/>
        </w:rPr>
        <w:t>ti-beam operation, the aspects of</w:t>
      </w:r>
      <w:r>
        <w:rPr>
          <w:lang w:eastAsia="ko-KR"/>
        </w:rPr>
        <w:t xml:space="preserve"> unified TCI framework for both DL and UL transmission</w:t>
      </w:r>
      <w:r>
        <w:rPr>
          <w:rFonts w:hint="eastAsia"/>
        </w:rPr>
        <w:t xml:space="preserve">, inter-cell beam management. Regarding the enhancement on </w:t>
      </w:r>
      <w:r>
        <w:t>m</w:t>
      </w:r>
      <w:r>
        <w:rPr>
          <w:rFonts w:hint="eastAsia"/>
        </w:rPr>
        <w:t>u</w:t>
      </w:r>
      <w:r>
        <w:t>l</w:t>
      </w:r>
      <w:r>
        <w:rPr>
          <w:rFonts w:hint="eastAsia"/>
        </w:rPr>
        <w:t xml:space="preserve">ti-TRP operation, </w:t>
      </w:r>
      <w:r>
        <w:t xml:space="preserve">beam management for multi-TRP operation </w:t>
      </w:r>
      <w:r>
        <w:rPr>
          <w:rFonts w:hint="eastAsia"/>
          <w:lang w:val="en-GB"/>
        </w:rPr>
        <w:t>have</w:t>
      </w:r>
      <w:r>
        <w:rPr>
          <w:lang w:val="en-GB"/>
        </w:rPr>
        <w:t xml:space="preserve"> been introduced </w:t>
      </w:r>
      <w:r>
        <w:rPr>
          <w:rFonts w:hint="eastAsia"/>
        </w:rPr>
        <w:t>for</w:t>
      </w:r>
      <w:r>
        <w:rPr>
          <w:lang w:val="en-GB"/>
        </w:rPr>
        <w:t xml:space="preserve"> better performance</w:t>
      </w:r>
      <w:r>
        <w:rPr>
          <w:rFonts w:hint="eastAsia"/>
        </w:rPr>
        <w:t xml:space="preserve"> and reliability</w:t>
      </w:r>
      <w:r>
        <w:rPr>
          <w:lang w:val="en-GB"/>
        </w:rPr>
        <w:t>.</w:t>
      </w:r>
      <w:r>
        <w:rPr>
          <w:rFonts w:hint="eastAsia"/>
        </w:rPr>
        <w:t xml:space="preserve"> </w:t>
      </w:r>
      <w:r>
        <w:rPr>
          <w:lang w:val="en-GB"/>
        </w:rPr>
        <w:t xml:space="preserve">In this contribution, we </w:t>
      </w:r>
      <w:r>
        <w:rPr>
          <w:rFonts w:hint="eastAsia"/>
        </w:rPr>
        <w:t>provide our views on</w:t>
      </w:r>
      <w:r>
        <w:rPr>
          <w:lang w:val="en-GB"/>
        </w:rPr>
        <w:t xml:space="preserve"> </w:t>
      </w:r>
      <w:r>
        <w:rPr>
          <w:rFonts w:hint="eastAsia"/>
        </w:rPr>
        <w:t xml:space="preserve">some further details of </w:t>
      </w:r>
      <w:r>
        <w:t>m</w:t>
      </w:r>
      <w:r>
        <w:rPr>
          <w:rFonts w:hint="eastAsia"/>
        </w:rPr>
        <w:t>u</w:t>
      </w:r>
      <w:r>
        <w:t>l</w:t>
      </w:r>
      <w:r>
        <w:rPr>
          <w:rFonts w:hint="eastAsia"/>
        </w:rPr>
        <w:t>ti-beam and</w:t>
      </w:r>
      <w:r>
        <w:t xml:space="preserve"> m</w:t>
      </w:r>
      <w:r>
        <w:rPr>
          <w:rFonts w:hint="eastAsia"/>
        </w:rPr>
        <w:t>ulti-TRP operation</w:t>
      </w:r>
      <w:r>
        <w:rPr>
          <w:lang w:val="en-GB"/>
        </w:rPr>
        <w:t>.</w:t>
      </w:r>
    </w:p>
    <w:p>
      <w:pPr>
        <w:pStyle w:val="2"/>
        <w:spacing w:before="240" w:after="120"/>
        <w:rPr>
          <w:lang w:val="en-US"/>
        </w:rPr>
      </w:pPr>
      <w:r>
        <w:rPr>
          <w:rFonts w:hint="eastAsia"/>
          <w:lang w:val="en-US"/>
        </w:rPr>
        <w:t xml:space="preserve">Unified TCI framework for downlink/uplink transmission with </w:t>
      </w:r>
      <w:r>
        <w:rPr>
          <w:lang w:val="en-US"/>
        </w:rPr>
        <w:t>m</w:t>
      </w:r>
      <w:r>
        <w:rPr>
          <w:rFonts w:hint="eastAsia"/>
          <w:lang w:val="en-US"/>
        </w:rPr>
        <w:t>TRP</w:t>
      </w:r>
    </w:p>
    <w:p>
      <w:pPr>
        <w:spacing w:after="120"/>
      </w:pPr>
      <w:r>
        <w:rPr>
          <w:rFonts w:hint="eastAsia"/>
        </w:rPr>
        <w:t xml:space="preserve">Unified TCI is one of essential enhancement for beam management in Rel-17, as well as uplink transmission with </w:t>
      </w:r>
      <w:r>
        <w:t>m</w:t>
      </w:r>
      <w:r>
        <w:rPr>
          <w:rFonts w:hint="eastAsia"/>
        </w:rPr>
        <w:t xml:space="preserve">TRP. Whether unified TCI should be supported in mTRP scenario has been discussed during latest RAN1 meetings, and conclusions and agreement were reached as follows.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after="0" w:afterLines="0" w:line="360" w:lineRule="auto"/>
              <w:rPr>
                <w:b/>
                <w:bCs/>
              </w:rPr>
            </w:pPr>
            <w:r>
              <w:rPr>
                <w:b/>
                <w:bCs/>
              </w:rPr>
              <w:t>Conclusion</w:t>
            </w:r>
            <w:r>
              <w:rPr>
                <w:rFonts w:hint="eastAsia"/>
                <w:b/>
                <w:bCs/>
              </w:rPr>
              <w:t xml:space="preserve"> (</w:t>
            </w:r>
            <w:r>
              <w:rPr>
                <w:rFonts w:hint="eastAsia"/>
              </w:rPr>
              <w:t xml:space="preserve">in RAN1#104-e) </w:t>
            </w:r>
          </w:p>
          <w:p>
            <w:pPr>
              <w:snapToGrid w:val="0"/>
              <w:spacing w:after="0" w:afterLines="0" w:line="240" w:lineRule="auto"/>
            </w:pPr>
            <w:r>
              <w:t xml:space="preserve">On Rel.17 unified TCI framework, based on the agreements in RAN1#102-e and 103-e, the following terms are defined as follows (at least for the purpose of discussion and reaching agreements). </w:t>
            </w:r>
          </w:p>
          <w:p>
            <w:pPr>
              <w:snapToGrid w:val="0"/>
              <w:spacing w:after="0" w:afterLines="0" w:line="240" w:lineRule="auto"/>
            </w:pPr>
            <w:r>
              <w:t>For M=1:</w:t>
            </w:r>
          </w:p>
          <w:p>
            <w:pPr>
              <w:pStyle w:val="129"/>
              <w:numPr>
                <w:ilvl w:val="0"/>
                <w:numId w:val="8"/>
              </w:numPr>
              <w:suppressAutoHyphens/>
              <w:autoSpaceDN w:val="0"/>
              <w:snapToGrid w:val="0"/>
              <w:spacing w:after="0" w:afterLines="0" w:line="240" w:lineRule="auto"/>
              <w:textAlignment w:val="baseline"/>
            </w:pPr>
            <w:r>
              <w:t xml:space="preserve">DL TCI: The source reference signal(s) (analogous to Rel.15, two, if qcl_Type2 is configured in addition to qcl_Type1) in the DL TCI provides QCL information at least for UE-dedicated reception on PDSCH and all of CORESETs in a CC </w:t>
            </w:r>
          </w:p>
          <w:p>
            <w:pPr>
              <w:snapToGrid w:val="0"/>
              <w:spacing w:after="0" w:afterLines="0" w:line="240" w:lineRule="auto"/>
            </w:pPr>
            <w:r>
              <w:t>For N=1:</w:t>
            </w:r>
          </w:p>
          <w:p>
            <w:pPr>
              <w:pStyle w:val="129"/>
              <w:numPr>
                <w:ilvl w:val="0"/>
                <w:numId w:val="8"/>
              </w:numPr>
              <w:suppressAutoHyphens/>
              <w:autoSpaceDN w:val="0"/>
              <w:snapToGrid w:val="0"/>
              <w:spacing w:after="0" w:afterLines="0" w:line="240" w:lineRule="auto"/>
              <w:textAlignment w:val="baseline"/>
            </w:pPr>
            <w:r>
              <w:t>UL TCI: The source reference signal in the UL TCI provides a reference for determining UL TX spatial filter at least for dynamic-grant/configured-grant based PUSCH and all of dedicated PUCCH resources in a CC</w:t>
            </w:r>
          </w:p>
          <w:p>
            <w:pPr>
              <w:snapToGrid w:val="0"/>
              <w:spacing w:after="0" w:afterLines="0" w:line="240" w:lineRule="auto"/>
            </w:pPr>
            <w:r>
              <w:t>For M=N=1: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等线"/>
                <w:bCs/>
                <w:lang w:eastAsia="ko-KR"/>
              </w:rPr>
              <w:t>a common source reference RS used for determining both the DL QCL information and the UL TX spatial filter</w:t>
            </w:r>
            <w:r>
              <w:t xml:space="preserve">.  </w:t>
            </w:r>
          </w:p>
          <w:p>
            <w:pPr>
              <w:pStyle w:val="129"/>
              <w:numPr>
                <w:ilvl w:val="0"/>
                <w:numId w:val="8"/>
              </w:numPr>
              <w:suppressAutoHyphens/>
              <w:autoSpaceDN w:val="0"/>
              <w:snapToGrid w:val="0"/>
              <w:spacing w:after="0" w:afterLines="0" w:line="240" w:lineRule="auto"/>
              <w:textAlignment w:val="baseline"/>
            </w:pPr>
            <w:r>
              <w:t>Separate DL/UL TCI: The DL TCI and UL TCI are distinct (therefore, separate).</w:t>
            </w:r>
          </w:p>
          <w:p>
            <w:pPr>
              <w:snapToGrid w:val="0"/>
              <w:spacing w:after="0" w:afterLines="0" w:line="240" w:lineRule="auto"/>
            </w:pPr>
            <w:r>
              <w:t>For M&gt;1:</w:t>
            </w:r>
          </w:p>
          <w:p>
            <w:pPr>
              <w:pStyle w:val="129"/>
              <w:numPr>
                <w:ilvl w:val="0"/>
                <w:numId w:val="8"/>
              </w:numPr>
              <w:suppressAutoHyphens/>
              <w:autoSpaceDN w:val="0"/>
              <w:snapToGrid w:val="0"/>
              <w:spacing w:after="0" w:afterLines="0" w:line="240" w:lineRule="auto"/>
              <w:textAlignment w:val="baseline"/>
            </w:pPr>
            <w:r>
              <w:t>DL TCI: Each of the M source reference signals (or 2M, if qcl_Type2 is configured in addition to qcl_Type1) in the M DL TCIs provides QCL information at least for one of the M beam pair links for UE-dedicated receptions on PDSCH and/or subset of CORESETs in a CC</w:t>
            </w:r>
          </w:p>
          <w:p>
            <w:pPr>
              <w:snapToGrid w:val="0"/>
              <w:spacing w:after="0" w:afterLines="0" w:line="240" w:lineRule="auto"/>
            </w:pPr>
            <w:r>
              <w:t>For N&gt;1:</w:t>
            </w:r>
          </w:p>
          <w:p>
            <w:pPr>
              <w:pStyle w:val="129"/>
              <w:numPr>
                <w:ilvl w:val="0"/>
                <w:numId w:val="8"/>
              </w:numPr>
              <w:suppressAutoHyphens/>
              <w:autoSpaceDN w:val="0"/>
              <w:snapToGrid w:val="0"/>
              <w:spacing w:after="0" w:afterLines="0" w:line="240" w:lineRule="auto"/>
              <w:textAlignment w:val="baseline"/>
            </w:pPr>
            <w: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pPr>
              <w:snapToGrid w:val="0"/>
              <w:spacing w:after="0" w:afterLines="0" w:line="240" w:lineRule="auto"/>
            </w:pPr>
            <w:r>
              <w:t>For M&gt;1 and/or N&gt;1: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等线"/>
                <w:bCs/>
                <w:lang w:eastAsia="ko-KR"/>
              </w:rPr>
              <w:t>a common source reference RS used for determining both the DL QCL information and the UL TX spatial filter</w:t>
            </w:r>
            <w:r>
              <w:t xml:space="preserve">. In this case, M=N.  </w:t>
            </w:r>
          </w:p>
          <w:p>
            <w:pPr>
              <w:pStyle w:val="129"/>
              <w:numPr>
                <w:ilvl w:val="0"/>
                <w:numId w:val="8"/>
              </w:numPr>
              <w:suppressAutoHyphens/>
              <w:autoSpaceDN w:val="0"/>
              <w:snapToGrid w:val="0"/>
              <w:spacing w:after="0" w:afterLines="0" w:line="240" w:lineRule="auto"/>
              <w:textAlignment w:val="baseline"/>
            </w:pPr>
            <w:r>
              <w:t>Separate DL/UL TCI: The M DL TCIs and N UL TCIs are distinct (therefore, separate).</w:t>
            </w:r>
          </w:p>
          <w:p>
            <w:pPr>
              <w:snapToGrid w:val="0"/>
              <w:spacing w:after="0" w:afterLines="0" w:line="240" w:lineRule="auto"/>
            </w:pPr>
            <w:r>
              <w:t>Note: Other TCI types/terms such as “common TCI” are not used.</w:t>
            </w:r>
          </w:p>
          <w:p>
            <w:pPr>
              <w:snapToGrid w:val="0"/>
              <w:spacing w:after="0" w:afterLines="0" w:line="276" w:lineRule="auto"/>
              <w:rPr>
                <w:rFonts w:cs="Times"/>
                <w:b/>
                <w:bCs/>
                <w:u w:val="single"/>
              </w:rPr>
            </w:pPr>
            <w:r>
              <w:rPr>
                <w:rFonts w:eastAsia="t" w:cs="Times"/>
                <w:b/>
                <w:bCs/>
                <w:u w:val="single"/>
              </w:rPr>
              <w:t>Agreement</w:t>
            </w:r>
            <w:r>
              <w:rPr>
                <w:rFonts w:hint="eastAsia" w:cs="Times"/>
                <w:b/>
                <w:bCs/>
                <w:u w:val="single"/>
              </w:rPr>
              <w:t xml:space="preserve"> </w:t>
            </w:r>
            <w:r>
              <w:rPr>
                <w:rFonts w:hint="eastAsia"/>
                <w:b/>
                <w:bCs/>
              </w:rPr>
              <w:t>(</w:t>
            </w:r>
            <w:r>
              <w:rPr>
                <w:rFonts w:hint="eastAsia"/>
              </w:rPr>
              <w:t xml:space="preserve">in RAN1#105-e) </w:t>
            </w:r>
          </w:p>
          <w:p>
            <w:pPr>
              <w:spacing w:after="0" w:afterLines="0" w:line="240" w:lineRule="auto"/>
              <w:rPr>
                <w:rFonts w:ascii="Times" w:hAnsi="Times" w:eastAsia="Batang" w:cs="Times"/>
                <w:szCs w:val="22"/>
                <w:lang w:val="en-GB" w:eastAsia="en-US"/>
              </w:rPr>
            </w:pPr>
            <w:r>
              <w:rPr>
                <w:rFonts w:ascii="Times" w:hAnsi="Times" w:eastAsia="Batang" w:cs="Times"/>
                <w:szCs w:val="22"/>
                <w:lang w:val="en-GB" w:eastAsia="en-US"/>
              </w:rPr>
              <w:t>On Rel-17 unified TCI,</w:t>
            </w:r>
            <w:r>
              <w:rPr>
                <w:rStyle w:val="46"/>
                <w:rFonts w:eastAsia="Batang" w:cs="Times"/>
                <w:szCs w:val="22"/>
                <w:lang w:val="en-GB" w:eastAsia="en-US"/>
              </w:rPr>
              <w:t> </w:t>
            </w:r>
            <w:r>
              <w:rPr>
                <w:rFonts w:ascii="Times" w:hAnsi="Times" w:eastAsia="Batang" w:cs="Times"/>
                <w:szCs w:val="22"/>
                <w:lang w:val="en-GB" w:eastAsia="en-US"/>
              </w:rPr>
              <w:t>in RAN1#106-e,</w:t>
            </w:r>
            <w:r>
              <w:rPr>
                <w:rFonts w:ascii="Times" w:hAnsi="Times" w:eastAsia="Batang" w:cs="Times"/>
                <w:color w:val="FF0000"/>
                <w:szCs w:val="22"/>
                <w:lang w:val="en-GB" w:eastAsia="en-US"/>
              </w:rPr>
              <w:t xml:space="preserve"> </w:t>
            </w:r>
            <w:r>
              <w:rPr>
                <w:rFonts w:ascii="Times" w:hAnsi="Times" w:eastAsia="Batang" w:cs="Times"/>
                <w:szCs w:val="22"/>
                <w:lang w:val="en-GB" w:eastAsia="en-US"/>
              </w:rPr>
              <w:t>for M&gt;1 and/or N&gt;1:</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Identify and agree on use cases </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Decide whether to support M&gt;1 and/or N&gt;1, and if so, the maximum value of M and/or N</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If supported, identify feasible candidate schemes for beam indication signaling mechanism (including TCI state activation)</w:t>
            </w:r>
          </w:p>
          <w:p>
            <w:pPr>
              <w:spacing w:after="0" w:afterLines="0" w:line="240" w:lineRule="auto"/>
              <w:rPr>
                <w:rFonts w:ascii="Times" w:hAnsi="Times" w:eastAsia="Batang" w:cs="Times"/>
                <w:szCs w:val="22"/>
                <w:lang w:val="en-GB" w:eastAsia="en-US"/>
              </w:rPr>
            </w:pPr>
            <w:r>
              <w:rPr>
                <w:rFonts w:ascii="Times" w:hAnsi="Times" w:eastAsia="Batang" w:cs="Times"/>
                <w:szCs w:val="22"/>
                <w:lang w:val="en-GB" w:eastAsia="en-US"/>
              </w:rPr>
              <w:t>Note:</w:t>
            </w:r>
          </w:p>
          <w:p>
            <w:pPr>
              <w:numPr>
                <w:ilvl w:val="0"/>
                <w:numId w:val="10"/>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Previous agreement in RAN1#104b-e that remaining unused DCI fields and codepoints are reserved in R17 are not to be reverted.</w:t>
            </w:r>
          </w:p>
          <w:p>
            <w:pPr>
              <w:numPr>
                <w:ilvl w:val="0"/>
                <w:numId w:val="10"/>
              </w:numPr>
              <w:spacing w:after="0" w:afterLines="0" w:line="240" w:lineRule="auto"/>
              <w:jc w:val="left"/>
            </w:pPr>
            <w:r>
              <w:rPr>
                <w:rFonts w:ascii="Times" w:hAnsi="Times" w:eastAsia="Batang" w:cs="Times"/>
                <w:szCs w:val="22"/>
                <w:lang w:val="en-GB" w:eastAsia="en-US"/>
              </w:rPr>
              <w:t>The use case of simultaneous UL transmission from multiple UE panels are not to be considered in Rel-17 as it is out of scope</w:t>
            </w:r>
          </w:p>
          <w:p>
            <w:pPr>
              <w:snapToGrid w:val="0"/>
              <w:spacing w:after="0" w:afterLines="0" w:line="276" w:lineRule="auto"/>
              <w:jc w:val="left"/>
              <w:rPr>
                <w:rFonts w:eastAsia="Malgun Gothic"/>
                <w:kern w:val="2"/>
                <w:sz w:val="21"/>
              </w:rPr>
            </w:pPr>
            <w:r>
              <w:rPr>
                <w:rFonts w:eastAsia="Malgun Gothic"/>
                <w:b/>
                <w:kern w:val="2"/>
                <w:sz w:val="21"/>
              </w:rPr>
              <w:t>Conclusion</w:t>
            </w:r>
            <w:r>
              <w:rPr>
                <w:rFonts w:hint="eastAsia" w:cs="Times"/>
                <w:b/>
                <w:bCs/>
                <w:u w:val="single"/>
              </w:rPr>
              <w:t xml:space="preserve"> </w:t>
            </w:r>
            <w:r>
              <w:rPr>
                <w:rFonts w:hint="eastAsia"/>
                <w:b/>
                <w:bCs/>
              </w:rPr>
              <w:t>(</w:t>
            </w:r>
            <w:r>
              <w:rPr>
                <w:rFonts w:hint="eastAsia"/>
              </w:rPr>
              <w:t>in RAN1#106-e)</w:t>
            </w:r>
          </w:p>
          <w:p>
            <w:pPr>
              <w:numPr>
                <w:ilvl w:val="0"/>
                <w:numId w:val="10"/>
              </w:numPr>
              <w:spacing w:after="0" w:afterLines="0" w:line="240" w:lineRule="auto"/>
              <w:jc w:val="left"/>
            </w:pPr>
            <w:r>
              <w:rPr>
                <w:rFonts w:eastAsia="Malgun Gothic"/>
                <w:kern w:val="2"/>
                <w:lang w:eastAsia="ko-KR"/>
              </w:rPr>
              <w:t>On Rel-17 unified TCI, for Rel-17, there is no consensus in supporting additional (M,N) values other than  (M,N)=(1,1)</w:t>
            </w:r>
          </w:p>
        </w:tc>
      </w:tr>
    </w:tbl>
    <w:p>
      <w:pPr>
        <w:spacing w:before="120" w:beforeLines="50" w:after="120"/>
      </w:pPr>
      <w:r>
        <w:rPr>
          <w:rFonts w:hint="eastAsia"/>
        </w:rPr>
        <w:t xml:space="preserve">M&gt;1 and/or N&gt;1 </w:t>
      </w:r>
      <w:r>
        <w:t>is</w:t>
      </w:r>
      <w:r>
        <w:rPr>
          <w:rFonts w:hint="eastAsia"/>
        </w:rPr>
        <w:t xml:space="preserve"> supposed to apply M DL or N UL indicated TCI states to at least one DL or UL channel or signal respectively. In our views, M&gt;1 and/or N&gt;1 represent multiple TCI states indicated for updating source </w:t>
      </w:r>
      <w:r>
        <w:rPr>
          <w:rFonts w:eastAsia="等线"/>
          <w:bCs/>
          <w:lang w:eastAsia="ko-KR"/>
        </w:rPr>
        <w:t xml:space="preserve">reference </w:t>
      </w:r>
      <w:r>
        <w:rPr>
          <w:rFonts w:hint="eastAsia"/>
        </w:rPr>
        <w:t xml:space="preserve">RS for DL or UL channels or signals corresponding to different TRPs. </w:t>
      </w:r>
    </w:p>
    <w:p>
      <w:pPr>
        <w:spacing w:after="120"/>
        <w:rPr>
          <w:kern w:val="2"/>
        </w:rPr>
      </w:pPr>
      <w:r>
        <w:rPr>
          <w:rFonts w:hint="eastAsia" w:eastAsia="微软雅黑"/>
        </w:rPr>
        <w:t>Note that although there is no consensus</w:t>
      </w:r>
      <w:r>
        <w:rPr>
          <w:rFonts w:eastAsia="Malgun Gothic"/>
          <w:color w:val="FF0000"/>
          <w:kern w:val="2"/>
          <w:lang w:eastAsia="ko-KR"/>
        </w:rPr>
        <w:t xml:space="preserve"> </w:t>
      </w:r>
      <w:r>
        <w:rPr>
          <w:rFonts w:eastAsia="Malgun Gothic"/>
          <w:kern w:val="2"/>
          <w:lang w:eastAsia="ko-KR"/>
        </w:rPr>
        <w:t>in supporting additional (M,N) values other than (M,N)=(1,1)</w:t>
      </w:r>
      <w:r>
        <w:rPr>
          <w:rFonts w:hint="eastAsia"/>
          <w:kern w:val="2"/>
        </w:rPr>
        <w:t xml:space="preserve"> in Rel-17, most companies realized it is important to support unified TCI framework in mTRP and multiple panel scenario. The details cannot be fully discussed in Rel-17 mainly due to lack of time, and it will probably be a key feature in next release. </w:t>
      </w:r>
    </w:p>
    <w:p>
      <w:pPr>
        <w:spacing w:after="120"/>
        <w:rPr>
          <w:rFonts w:eastAsia="微软雅黑"/>
        </w:rPr>
      </w:pPr>
      <w:r>
        <w:rPr>
          <w:rFonts w:hint="eastAsia"/>
        </w:rPr>
        <w:t xml:space="preserve">In this section, </w:t>
      </w:r>
      <w:r>
        <w:rPr>
          <w:rFonts w:hint="eastAsia" w:eastAsia="微软雅黑"/>
        </w:rPr>
        <w:t xml:space="preserve">MAC CE design for activating </w:t>
      </w:r>
      <w:r>
        <w:rPr>
          <w:rFonts w:hint="eastAsia"/>
        </w:rPr>
        <w:t xml:space="preserve">DL/UL </w:t>
      </w:r>
      <w:r>
        <w:rPr>
          <w:rFonts w:hint="eastAsia" w:eastAsia="微软雅黑"/>
        </w:rPr>
        <w:t xml:space="preserve">TCI states in </w:t>
      </w:r>
      <w:r>
        <w:rPr>
          <w:rFonts w:eastAsia="微软雅黑"/>
        </w:rPr>
        <w:t>m</w:t>
      </w:r>
      <w:r>
        <w:rPr>
          <w:rFonts w:hint="eastAsia" w:eastAsia="微软雅黑"/>
        </w:rPr>
        <w:t>TRP</w:t>
      </w:r>
      <w:r>
        <w:rPr>
          <w:rFonts w:eastAsia="微软雅黑"/>
        </w:rPr>
        <w:t>,</w:t>
      </w:r>
      <w:r>
        <w:rPr>
          <w:rFonts w:hint="eastAsia" w:eastAsia="微软雅黑"/>
        </w:rPr>
        <w:t xml:space="preserve"> </w:t>
      </w:r>
      <w:r>
        <w:rPr>
          <w:rFonts w:eastAsia="微软雅黑"/>
        </w:rPr>
        <w:t xml:space="preserve">details on </w:t>
      </w:r>
      <w:r>
        <w:rPr>
          <w:rFonts w:hint="eastAsia"/>
        </w:rPr>
        <w:t>how to apply the indicated TCI state to the target channels/signals in mTRP scenario</w:t>
      </w:r>
      <w:r>
        <w:t xml:space="preserve"> and power control enhancements for unified TCI based</w:t>
      </w:r>
      <w:r>
        <w:rPr>
          <w:rFonts w:hint="eastAsia"/>
        </w:rPr>
        <w:t xml:space="preserve"> </w:t>
      </w:r>
      <w:r>
        <w:t>mTRP</w:t>
      </w:r>
      <w:r>
        <w:rPr>
          <w:rFonts w:hint="eastAsia"/>
        </w:rPr>
        <w:t xml:space="preserve"> are analyzed.</w:t>
      </w:r>
      <w:r>
        <w:rPr>
          <w:rFonts w:hint="eastAsia" w:eastAsia="微软雅黑"/>
        </w:rPr>
        <w:t xml:space="preserve"> With these discussion in mind, we can try to make a good design for unified TCI in Rel-17 while considering as more requirements from mTRP as possible, such as design of MAC CE for activating </w:t>
      </w:r>
      <w:r>
        <w:rPr>
          <w:rFonts w:hint="eastAsia"/>
        </w:rPr>
        <w:t xml:space="preserve">DL/UL </w:t>
      </w:r>
      <w:r>
        <w:rPr>
          <w:rFonts w:hint="eastAsia" w:eastAsia="微软雅黑"/>
        </w:rPr>
        <w:t>TCI states, design of TCI state pool in RRC, etc.</w:t>
      </w:r>
    </w:p>
    <w:p>
      <w:pPr>
        <w:pStyle w:val="3"/>
        <w:spacing w:before="240" w:after="120"/>
        <w:ind w:left="709"/>
        <w:rPr>
          <w:rFonts w:eastAsia="微软雅黑"/>
          <w:szCs w:val="20"/>
          <w:lang w:val="en-US"/>
        </w:rPr>
      </w:pPr>
      <w:r>
        <w:rPr>
          <w:rFonts w:hint="eastAsia" w:eastAsia="微软雅黑"/>
          <w:szCs w:val="20"/>
          <w:lang w:val="en-US"/>
        </w:rPr>
        <w:t xml:space="preserve">MAC CE design for activating </w:t>
      </w:r>
      <w:r>
        <w:rPr>
          <w:rFonts w:hint="eastAsia"/>
          <w:lang w:val="en-US"/>
        </w:rPr>
        <w:t xml:space="preserve">DL/UL </w:t>
      </w:r>
      <w:r>
        <w:rPr>
          <w:rFonts w:hint="eastAsia" w:eastAsia="微软雅黑"/>
          <w:szCs w:val="20"/>
          <w:lang w:val="en-US"/>
        </w:rPr>
        <w:t xml:space="preserve">TCI states in </w:t>
      </w:r>
      <w:r>
        <w:rPr>
          <w:rFonts w:eastAsia="微软雅黑"/>
          <w:szCs w:val="20"/>
          <w:lang w:val="en-US"/>
        </w:rPr>
        <w:t>m</w:t>
      </w:r>
      <w:r>
        <w:rPr>
          <w:rFonts w:hint="eastAsia" w:eastAsia="微软雅黑"/>
          <w:szCs w:val="20"/>
          <w:lang w:val="en-US"/>
        </w:rPr>
        <w:t>TRP</w:t>
      </w:r>
    </w:p>
    <w:p>
      <w:pPr>
        <w:widowControl w:val="0"/>
        <w:spacing w:before="40" w:after="120" w:line="300" w:lineRule="auto"/>
      </w:pPr>
      <w:r>
        <w:rPr>
          <w:rFonts w:hint="eastAsia"/>
        </w:rPr>
        <w:t xml:space="preserve">A UE can be configured </w:t>
      </w:r>
      <w:r>
        <w:t>“</w:t>
      </w:r>
      <w:r>
        <w:rPr>
          <w:rFonts w:hint="eastAsia"/>
        </w:rPr>
        <w:t xml:space="preserve">joint </w:t>
      </w:r>
      <w:r>
        <w:rPr>
          <w:szCs w:val="24"/>
        </w:rPr>
        <w:t xml:space="preserve">TCI </w:t>
      </w:r>
      <w:r>
        <w:rPr>
          <w:rFonts w:hint="eastAsia"/>
          <w:szCs w:val="24"/>
        </w:rPr>
        <w:t>state</w:t>
      </w:r>
      <w:r>
        <w:t>”</w:t>
      </w:r>
      <w:r>
        <w:rPr>
          <w:rFonts w:hint="eastAsia"/>
        </w:rPr>
        <w:t xml:space="preserve"> or </w:t>
      </w:r>
      <w:r>
        <w:t>“</w:t>
      </w:r>
      <w:r>
        <w:rPr>
          <w:rFonts w:hint="eastAsia"/>
        </w:rPr>
        <w:t xml:space="preserve">separate </w:t>
      </w:r>
      <w:r>
        <w:rPr>
          <w:szCs w:val="24"/>
        </w:rPr>
        <w:t>DL/UL TCI</w:t>
      </w:r>
      <w:r>
        <w:rPr>
          <w:rFonts w:hint="eastAsia"/>
          <w:szCs w:val="24"/>
        </w:rPr>
        <w:t xml:space="preserve"> state</w:t>
      </w:r>
      <w:r>
        <w:t>”</w:t>
      </w:r>
      <w:r>
        <w:rPr>
          <w:rFonts w:hint="eastAsia"/>
        </w:rPr>
        <w:t xml:space="preserve"> via RRC signaling for property of DL/UL for an indicated TCI state. This would affect the type of codepoint of TCI states in MAC CE. </w:t>
      </w:r>
    </w:p>
    <w:p>
      <w:pPr>
        <w:widowControl w:val="0"/>
        <w:numPr>
          <w:ilvl w:val="0"/>
          <w:numId w:val="11"/>
        </w:numPr>
        <w:spacing w:before="40" w:after="120" w:line="300" w:lineRule="auto"/>
      </w:pPr>
      <w:r>
        <w:rPr>
          <w:rFonts w:hint="eastAsia"/>
        </w:rPr>
        <w:t xml:space="preserve">For </w:t>
      </w:r>
      <w:r>
        <w:t>“</w:t>
      </w:r>
      <w:r>
        <w:rPr>
          <w:rFonts w:hint="eastAsia"/>
        </w:rPr>
        <w:t xml:space="preserve">joint </w:t>
      </w:r>
      <w:r>
        <w:rPr>
          <w:szCs w:val="24"/>
        </w:rPr>
        <w:t xml:space="preserve">TCI </w:t>
      </w:r>
      <w:r>
        <w:rPr>
          <w:rFonts w:hint="eastAsia"/>
          <w:szCs w:val="24"/>
        </w:rPr>
        <w:t>state</w:t>
      </w:r>
      <w:r>
        <w:t>”</w:t>
      </w:r>
      <w:r>
        <w:rPr>
          <w:rFonts w:hint="eastAsia"/>
        </w:rPr>
        <w:t xml:space="preserve">, a TCI state can be used for both DL and UL, and the type of codepoint of TCI states can be unified DL and UL; </w:t>
      </w:r>
    </w:p>
    <w:p>
      <w:pPr>
        <w:widowControl w:val="0"/>
        <w:numPr>
          <w:ilvl w:val="0"/>
          <w:numId w:val="11"/>
        </w:numPr>
        <w:spacing w:before="40" w:after="120" w:line="300" w:lineRule="auto"/>
        <w:rPr>
          <w:b/>
          <w:bCs/>
        </w:rPr>
      </w:pPr>
      <w:r>
        <w:rPr>
          <w:rFonts w:hint="eastAsia"/>
        </w:rPr>
        <w:t xml:space="preserve">For </w:t>
      </w:r>
      <w:r>
        <w:t>“</w:t>
      </w:r>
      <w:r>
        <w:rPr>
          <w:rFonts w:hint="eastAsia"/>
        </w:rPr>
        <w:t xml:space="preserve">separate </w:t>
      </w:r>
      <w:r>
        <w:rPr>
          <w:szCs w:val="24"/>
        </w:rPr>
        <w:t>DL/UL TCI</w:t>
      </w:r>
      <w:r>
        <w:rPr>
          <w:rFonts w:hint="eastAsia"/>
          <w:szCs w:val="24"/>
        </w:rPr>
        <w:t xml:space="preserve"> state</w:t>
      </w:r>
      <w:r>
        <w:t>”</w:t>
      </w:r>
      <w:r>
        <w:rPr>
          <w:rFonts w:hint="eastAsia"/>
        </w:rPr>
        <w:t xml:space="preserve">, a TCI state can be used for either DL or for UL, and the type of codepoint of TCI states can be one of: DL, UL, combined DL and UL. </w:t>
      </w:r>
    </w:p>
    <w:p>
      <w:pPr>
        <w:spacing w:after="120"/>
        <w:rPr>
          <w:sz w:val="21"/>
          <w:szCs w:val="21"/>
          <w:lang w:bidi="ar"/>
        </w:rPr>
      </w:pPr>
      <w:r>
        <w:rPr>
          <w:rFonts w:hint="eastAsia"/>
        </w:rPr>
        <w:t xml:space="preserve">For MAC CE design, the type for each codepoint of TCI sates should be indicated. There are 3 values for </w:t>
      </w:r>
      <w:r>
        <w:t>“</w:t>
      </w:r>
      <w:r>
        <w:rPr>
          <w:rFonts w:hint="eastAsia"/>
        </w:rPr>
        <w:t xml:space="preserve">separate </w:t>
      </w:r>
      <w:r>
        <w:rPr>
          <w:szCs w:val="24"/>
        </w:rPr>
        <w:t>DL/UL TCI</w:t>
      </w:r>
      <w:r>
        <w:rPr>
          <w:rFonts w:hint="eastAsia"/>
          <w:szCs w:val="24"/>
        </w:rPr>
        <w:t xml:space="preserve"> state</w:t>
      </w:r>
      <w:r>
        <w:t>”</w:t>
      </w:r>
      <w:r>
        <w:rPr>
          <w:rFonts w:hint="eastAsia"/>
        </w:rPr>
        <w:t xml:space="preserve"> case, thus 2 bits are needed for each codepoint. In order to reduce overhead, numbers of each type can be indicated before the TCI state list, and the TCI state list is organized in a predefined order of types of codepoint of TCI states. For example, as shown in table 1, n</w:t>
      </w:r>
      <w:r>
        <w:rPr>
          <w:rFonts w:hint="eastAsia"/>
          <w:sz w:val="21"/>
          <w:szCs w:val="21"/>
          <w:lang w:bidi="ar"/>
        </w:rPr>
        <w:t xml:space="preserve">umber of TCI state codepoints indication is used to indicate a number of type 1 (combined DL and UL) N1, a number of type 2 (DL) N2 and a number of type 3 (UL) N3. Number of TCI state codepoints indication can comprise 3 values for numbers for type 1, type 2 and type 3, or a joint-coded value for numbers for type 1, type 2 and type 3. Alternatively, number of TCI state codepoints indication can also indicate numbers of type 1 and type 2 only, but the number of type 3 can be deduced using the length of this MAC CE. </w:t>
      </w:r>
    </w:p>
    <w:p>
      <w:pPr>
        <w:widowControl w:val="0"/>
        <w:spacing w:before="40" w:after="120" w:line="300" w:lineRule="auto"/>
        <w:jc w:val="center"/>
      </w:pPr>
      <w:r>
        <w:rPr>
          <w:rFonts w:hint="eastAsia"/>
          <w:b/>
          <w:bCs/>
        </w:rPr>
        <w:t>Table 1</w:t>
      </w:r>
      <w:r>
        <w:rPr>
          <w:rFonts w:hint="eastAsia"/>
        </w:rPr>
        <w:t xml:space="preserve"> MAC CE for </w:t>
      </w:r>
      <w:r>
        <w:rPr>
          <w:rFonts w:hint="eastAsia" w:eastAsia="微软雅黑"/>
        </w:rPr>
        <w:t xml:space="preserve">for activating </w:t>
      </w:r>
      <w:r>
        <w:rPr>
          <w:rFonts w:hint="eastAsia"/>
        </w:rPr>
        <w:t xml:space="preserve">DL/UL </w:t>
      </w:r>
      <w:r>
        <w:rPr>
          <w:rFonts w:hint="eastAsia" w:eastAsia="微软雅黑"/>
        </w:rPr>
        <w:t>TCI states</w:t>
      </w:r>
    </w:p>
    <w:tbl>
      <w:tblPr>
        <w:tblStyle w:val="25"/>
        <w:tblW w:w="8893" w:type="dxa"/>
        <w:tblInd w:w="0" w:type="dxa"/>
        <w:tblLayout w:type="autofit"/>
        <w:tblCellMar>
          <w:top w:w="0" w:type="dxa"/>
          <w:left w:w="0" w:type="dxa"/>
          <w:bottom w:w="0" w:type="dxa"/>
          <w:right w:w="0" w:type="dxa"/>
        </w:tblCellMar>
      </w:tblPr>
      <w:tblGrid>
        <w:gridCol w:w="1332"/>
        <w:gridCol w:w="1080"/>
        <w:gridCol w:w="1080"/>
        <w:gridCol w:w="1080"/>
        <w:gridCol w:w="1080"/>
        <w:gridCol w:w="1080"/>
        <w:gridCol w:w="1080"/>
        <w:gridCol w:w="1081"/>
      </w:tblGrid>
      <w:tr>
        <w:tblPrEx>
          <w:tblCellMar>
            <w:top w:w="0" w:type="dxa"/>
            <w:left w:w="0" w:type="dxa"/>
            <w:bottom w:w="0" w:type="dxa"/>
            <w:right w:w="0" w:type="dxa"/>
          </w:tblCellMar>
        </w:tblPrEx>
        <w:trPr>
          <w:trHeight w:val="312" w:hRule="atLeast"/>
        </w:trPr>
        <w:tc>
          <w:tcPr>
            <w:tcW w:w="1332"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bit #7</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#6</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#5</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#4</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#3</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#2</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#1</w:t>
            </w:r>
          </w:p>
        </w:tc>
        <w:tc>
          <w:tcPr>
            <w:tcW w:w="1081"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bit #0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R</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Serving Cell ID</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BWP ID</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lang w:bidi="ar"/>
              </w:rPr>
            </w:pPr>
            <w:r>
              <w:rPr>
                <w:rFonts w:hint="eastAsia"/>
                <w:lang w:bidi="ar"/>
              </w:rPr>
              <w:t>Number of TCI state codepoints indication (type1: N1, type2: N2, type3: N3)</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rFonts w:hint="eastAsia"/>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 xml:space="preserve">TCI state </w:t>
            </w:r>
            <w:r>
              <w:rPr>
                <w:rFonts w:hint="eastAsia"/>
                <w:lang w:bidi="ar"/>
              </w:rPr>
              <w:t>type1</w:t>
            </w:r>
            <w:r>
              <w:rPr>
                <w:lang w:bidi="ar"/>
              </w:rPr>
              <w:t>_1</w:t>
            </w:r>
            <w:r>
              <w:rPr>
                <w:rFonts w:hint="eastAsia"/>
                <w:lang w:bidi="ar"/>
              </w:rPr>
              <w:t>_DL</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R</w:t>
            </w:r>
          </w:p>
        </w:tc>
        <w:tc>
          <w:tcPr>
            <w:tcW w:w="0" w:type="auto"/>
            <w:gridSpan w:val="7"/>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1_UL</w:t>
            </w:r>
          </w:p>
        </w:tc>
      </w:tr>
      <w:tr>
        <w:tblPrEx>
          <w:tblCellMar>
            <w:top w:w="0" w:type="dxa"/>
            <w:left w:w="0" w:type="dxa"/>
            <w:bottom w:w="0" w:type="dxa"/>
            <w:right w:w="0" w:type="dxa"/>
          </w:tblCellMar>
        </w:tblPrEx>
        <w:trPr>
          <w:trHeight w:val="312" w:hRule="atLeast"/>
        </w:trPr>
        <w:tc>
          <w:tcPr>
            <w:tcW w:w="8893" w:type="dxa"/>
            <w:gridSpan w:val="8"/>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R</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N1_DL</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R</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N1_UL</w:t>
            </w:r>
          </w:p>
        </w:tc>
      </w:tr>
      <w:tr>
        <w:tblPrEx>
          <w:tblCellMar>
            <w:top w:w="0" w:type="dxa"/>
            <w:left w:w="0" w:type="dxa"/>
            <w:bottom w:w="0" w:type="dxa"/>
            <w:right w:w="0" w:type="dxa"/>
          </w:tblCellMar>
        </w:tblPrEx>
        <w:trPr>
          <w:trHeight w:val="90" w:hRule="atLeast"/>
        </w:trPr>
        <w:tc>
          <w:tcPr>
            <w:tcW w:w="8893" w:type="dxa"/>
            <w:gridSpan w:val="8"/>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R</w:t>
            </w:r>
          </w:p>
        </w:tc>
        <w:tc>
          <w:tcPr>
            <w:tcW w:w="0" w:type="auto"/>
            <w:gridSpan w:val="7"/>
            <w:tcBorders>
              <w:top w:val="single" w:color="auto"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1_DL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N2_DL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rFonts w:hint="eastAsia"/>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_1</w:t>
            </w:r>
            <w:r>
              <w:rPr>
                <w:rFonts w:hint="eastAsia"/>
                <w:color w:val="000000"/>
                <w:lang w:bidi="ar"/>
              </w:rPr>
              <w:t>_UL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w:t>
            </w:r>
            <w:r>
              <w:rPr>
                <w:rFonts w:hint="eastAsia"/>
                <w:color w:val="000000"/>
                <w:lang w:bidi="ar"/>
              </w:rPr>
              <w:t>N3_UL</w:t>
            </w:r>
          </w:p>
        </w:tc>
      </w:tr>
    </w:tbl>
    <w:p>
      <w:pPr>
        <w:spacing w:after="120"/>
        <w:ind w:firstLine="420"/>
      </w:pPr>
    </w:p>
    <w:p>
      <w:pPr>
        <w:spacing w:after="120"/>
        <w:rPr>
          <w:rFonts w:eastAsiaTheme="minorEastAsia"/>
        </w:rPr>
      </w:pPr>
      <w:r>
        <w:rPr>
          <w:rFonts w:hint="eastAsia"/>
        </w:rPr>
        <w:t xml:space="preserve">In mTRP scenario, the MAC CE comprises information to indicate S-DCI (single-DCI) or M-DCI (multiple-DCI). In the case of M-DCI, the MAC CE may comprise information to indicate CORESET pool ID. That means one MAC CE can be used for </w:t>
      </w:r>
      <w:r>
        <w:rPr>
          <w:rFonts w:hint="eastAsia" w:eastAsia="微软雅黑"/>
        </w:rPr>
        <w:t xml:space="preserve">activating </w:t>
      </w:r>
      <w:r>
        <w:rPr>
          <w:rFonts w:hint="eastAsia"/>
        </w:rPr>
        <w:t xml:space="preserve">DL/UL </w:t>
      </w:r>
      <w:r>
        <w:rPr>
          <w:rFonts w:hint="eastAsia" w:eastAsia="微软雅黑"/>
        </w:rPr>
        <w:t xml:space="preserve">TCI states for one TRP, as in Rel-16. </w:t>
      </w:r>
      <w:r>
        <w:rPr>
          <w:rFonts w:hint="eastAsia"/>
        </w:rPr>
        <w:t xml:space="preserve">In the case of S-DCI, the MAC CE may comprise information to indicate presence of additional TCI state for a second link in a codepoint. Link can be associated with TRP. The information of presence of additional TCI state for a second link in a codepoint indicates presence of additional TCI state for a second link in a codepoint for a same usage (DL or UL) as the TCI state for a first link. </w:t>
      </w:r>
    </w:p>
    <w:p>
      <w:pPr>
        <w:spacing w:after="120"/>
      </w:pPr>
      <w:r>
        <w:rPr>
          <w:rFonts w:hint="eastAsia"/>
        </w:rPr>
        <w:t xml:space="preserve">For example, as shown in figure 1, in the case that </w:t>
      </w:r>
      <w:r>
        <w:t>“</w:t>
      </w:r>
      <w:r>
        <w:rPr>
          <w:rFonts w:hint="eastAsia"/>
        </w:rPr>
        <w:t xml:space="preserve">separate </w:t>
      </w:r>
      <w:r>
        <w:rPr>
          <w:szCs w:val="24"/>
        </w:rPr>
        <w:t>DL/UL TCI</w:t>
      </w:r>
      <w:r>
        <w:rPr>
          <w:rFonts w:hint="eastAsia"/>
          <w:szCs w:val="24"/>
        </w:rPr>
        <w:t xml:space="preserve"> state</w:t>
      </w:r>
      <w:r>
        <w:t>”</w:t>
      </w:r>
      <w:r>
        <w:rPr>
          <w:rFonts w:hint="eastAsia"/>
        </w:rPr>
        <w:t xml:space="preserve"> is determined, and mTRP is supported with S-DCI, a TCI state entry (byte) may comprises a </w:t>
      </w:r>
      <w:r>
        <w:t>“</w:t>
      </w:r>
      <w:r>
        <w:rPr>
          <w:rFonts w:hint="eastAsia"/>
        </w:rPr>
        <w:t>C</w:t>
      </w:r>
      <w:r>
        <w:t>”</w:t>
      </w:r>
      <w:r>
        <w:rPr>
          <w:rFonts w:hint="eastAsia"/>
        </w:rPr>
        <w:t xml:space="preserve"> or </w:t>
      </w:r>
      <w:r>
        <w:t>“</w:t>
      </w:r>
      <w:r>
        <w:rPr>
          <w:rFonts w:hint="eastAsia"/>
        </w:rPr>
        <w:t>R</w:t>
      </w:r>
      <w:r>
        <w:t>”</w:t>
      </w:r>
      <w:r>
        <w:rPr>
          <w:rFonts w:hint="eastAsia"/>
        </w:rPr>
        <w:t xml:space="preserve"> bit and corresponding TCI state indication (7-bit). A TCI state can be for DL or for UL. The type of a codepoint of TCI states may comprise DL, UL, or combined DL and UL. A codepoint of TCI states may comprise one DL or UL TCI state, two DL or UL TCI states for two links (e.g. TRP0 and TRP1), two DL and one UL TCI states, two UL and one DL TCI states, or two DL and two UL TCI states. </w:t>
      </w:r>
      <w:r>
        <w:t>“</w:t>
      </w:r>
      <w:r>
        <w:rPr>
          <w:rFonts w:hint="eastAsia"/>
        </w:rPr>
        <w:t>C</w:t>
      </w:r>
      <w:r>
        <w:t>”</w:t>
      </w:r>
      <w:r>
        <w:rPr>
          <w:rFonts w:hint="eastAsia"/>
        </w:rPr>
        <w:t xml:space="preserve"> bit in the TCI state entry for a first link indicates presence of additional TCI state for a second link in a codepoint with the same usage (for DL or UL) as the TCI state for the first link. </w:t>
      </w:r>
    </w:p>
    <w:p>
      <w:pPr>
        <w:spacing w:after="120"/>
        <w:jc w:val="center"/>
      </w:pPr>
      <w:r>
        <w:object>
          <v:shape id="_x0000_i1025" o:spt="75" type="#_x0000_t75" style="height:200pt;width:338.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after="120"/>
        <w:jc w:val="center"/>
      </w:pPr>
      <w:r>
        <w:rPr>
          <w:rFonts w:hint="eastAsia"/>
          <w:b/>
          <w:bCs/>
        </w:rPr>
        <w:t>Figure 1</w:t>
      </w:r>
      <w:r>
        <w:rPr>
          <w:rFonts w:hint="eastAsia"/>
        </w:rPr>
        <w:t xml:space="preserve"> TCI state list for mTRP with S-DCI</w:t>
      </w:r>
    </w:p>
    <w:p>
      <w:pPr>
        <w:spacing w:after="0" w:afterLines="0"/>
        <w:rPr>
          <w:rFonts w:eastAsia="微软雅黑"/>
          <w:i/>
          <w:iCs/>
        </w:rPr>
      </w:pPr>
      <w:r>
        <w:rPr>
          <w:rFonts w:hint="eastAsia" w:eastAsia="微软雅黑"/>
          <w:b/>
          <w:bCs/>
          <w:i/>
          <w:iCs/>
        </w:rPr>
        <w:t xml:space="preserve">Proposal 1: </w:t>
      </w:r>
      <w:r>
        <w:rPr>
          <w:rFonts w:hint="eastAsia" w:eastAsia="微软雅黑"/>
          <w:i/>
          <w:iCs/>
        </w:rPr>
        <w:t xml:space="preserve">Regarding MAC CE for activating DL/UL TCI states, </w:t>
      </w:r>
    </w:p>
    <w:p>
      <w:pPr>
        <w:numPr>
          <w:ilvl w:val="0"/>
          <w:numId w:val="12"/>
        </w:numPr>
        <w:overflowPunct w:val="0"/>
        <w:autoSpaceDE w:val="0"/>
        <w:autoSpaceDN w:val="0"/>
        <w:adjustRightInd w:val="0"/>
        <w:spacing w:after="0" w:afterLines="0"/>
        <w:textAlignment w:val="baseline"/>
        <w:rPr>
          <w:i/>
        </w:rPr>
      </w:pPr>
      <w:r>
        <w:rPr>
          <w:rFonts w:hint="eastAsia"/>
          <w:i/>
        </w:rPr>
        <w:t>When separate DL/UL TCI state is configured, 3 types of codepoint of TCI states, such as DL, UL, combined DL and UL, should be supported in the MAC CE;</w:t>
      </w:r>
    </w:p>
    <w:p>
      <w:pPr>
        <w:numPr>
          <w:ilvl w:val="0"/>
          <w:numId w:val="12"/>
        </w:numPr>
        <w:overflowPunct w:val="0"/>
        <w:autoSpaceDE w:val="0"/>
        <w:autoSpaceDN w:val="0"/>
        <w:adjustRightInd w:val="0"/>
        <w:spacing w:after="0" w:afterLines="0"/>
        <w:textAlignment w:val="baseline"/>
        <w:rPr>
          <w:i/>
        </w:rPr>
      </w:pPr>
      <w:r>
        <w:rPr>
          <w:rFonts w:hint="eastAsia"/>
          <w:i/>
        </w:rPr>
        <w:t>The TCI state list should be organized in a predefined order of types of codepoint of TCI states in the MAC CE;</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 xml:space="preserve">Two independent values or one joint-coded value for numbers of two types </w:t>
      </w:r>
      <w:r>
        <w:rPr>
          <w:rFonts w:hint="eastAsia"/>
          <w:i/>
        </w:rPr>
        <w:t>of codepoint of TCI states should be indicated in the MAC CE.</w:t>
      </w:r>
    </w:p>
    <w:p>
      <w:pPr>
        <w:spacing w:after="0" w:afterLines="0"/>
        <w:rPr>
          <w:rFonts w:eastAsia="微软雅黑"/>
          <w:b/>
          <w:bCs/>
          <w:i/>
          <w:iCs/>
        </w:rPr>
      </w:pPr>
      <w:r>
        <w:rPr>
          <w:rFonts w:hint="eastAsia" w:eastAsia="微软雅黑"/>
          <w:b/>
          <w:bCs/>
          <w:i/>
          <w:iCs/>
        </w:rPr>
        <w:t xml:space="preserve">Proposal 2: </w:t>
      </w:r>
      <w:r>
        <w:rPr>
          <w:rFonts w:hint="eastAsia" w:eastAsia="微软雅黑"/>
          <w:i/>
          <w:iCs/>
        </w:rPr>
        <w:t>Regarding unified TCI state scheme in mTRP,</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mTRP requirement should be considered in MAC CE design for activating DL/UL TCI states;</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Information of presence of additional TCI state for another TRP for same DL/UL in a codepoint should be supported.</w:t>
      </w:r>
    </w:p>
    <w:p>
      <w:pPr>
        <w:pStyle w:val="3"/>
        <w:spacing w:before="240" w:after="120"/>
        <w:ind w:left="709"/>
        <w:rPr>
          <w:rFonts w:eastAsia="微软雅黑"/>
          <w:szCs w:val="20"/>
          <w:lang w:val="en-US"/>
        </w:rPr>
      </w:pPr>
      <w:r>
        <w:rPr>
          <w:rFonts w:hint="eastAsia" w:eastAsia="微软雅黑"/>
          <w:szCs w:val="20"/>
          <w:lang w:val="en-US"/>
        </w:rPr>
        <w:t xml:space="preserve">Unified TCI state applied to </w:t>
      </w:r>
      <w:r>
        <w:rPr>
          <w:rFonts w:hint="eastAsia"/>
          <w:lang w:val="en-US"/>
        </w:rPr>
        <w:t xml:space="preserve">DL/UL channel/signal </w:t>
      </w:r>
      <w:r>
        <w:rPr>
          <w:rFonts w:hint="eastAsia" w:eastAsia="微软雅黑"/>
          <w:szCs w:val="20"/>
          <w:lang w:val="en-US"/>
        </w:rPr>
        <w:t xml:space="preserve">in </w:t>
      </w:r>
      <w:r>
        <w:rPr>
          <w:rFonts w:eastAsia="微软雅黑"/>
          <w:szCs w:val="20"/>
          <w:lang w:val="en-US"/>
        </w:rPr>
        <w:t>m</w:t>
      </w:r>
      <w:r>
        <w:rPr>
          <w:rFonts w:hint="eastAsia" w:eastAsia="微软雅黑"/>
          <w:szCs w:val="20"/>
          <w:lang w:val="en-US"/>
        </w:rPr>
        <w:t>TRP</w:t>
      </w:r>
    </w:p>
    <w:p>
      <w:pPr>
        <w:spacing w:after="120"/>
        <w:rPr>
          <w:rFonts w:eastAsia="微软雅黑"/>
        </w:rPr>
      </w:pPr>
      <w:r>
        <w:rPr>
          <w:rFonts w:hint="eastAsia" w:eastAsia="微软雅黑"/>
        </w:rPr>
        <w:t xml:space="preserve">When a unified TCI state (source TCI state) indicated by a DCI format can be applied to (target) </w:t>
      </w:r>
      <w:r>
        <w:rPr>
          <w:rFonts w:hint="eastAsia"/>
        </w:rPr>
        <w:t xml:space="preserve">channel/signal </w:t>
      </w:r>
      <w:r>
        <w:rPr>
          <w:rFonts w:hint="eastAsia" w:eastAsia="微软雅黑"/>
        </w:rPr>
        <w:t xml:space="preserve">of downlink and/or uplink in </w:t>
      </w:r>
      <w:r>
        <w:rPr>
          <w:rFonts w:eastAsia="微软雅黑"/>
        </w:rPr>
        <w:t>m</w:t>
      </w:r>
      <w:r>
        <w:rPr>
          <w:rFonts w:hint="eastAsia" w:eastAsia="微软雅黑"/>
        </w:rPr>
        <w:t xml:space="preserve">TRP, the TRP related to the unified TCI state and the TRP related to the applied (target) </w:t>
      </w:r>
      <w:r>
        <w:rPr>
          <w:rFonts w:hint="eastAsia"/>
        </w:rPr>
        <w:t xml:space="preserve">channel/signal </w:t>
      </w:r>
      <w:r>
        <w:rPr>
          <w:rFonts w:hint="eastAsia" w:eastAsia="微软雅黑"/>
        </w:rPr>
        <w:t>should be aligned</w:t>
      </w:r>
      <w:r>
        <w:rPr>
          <w:rFonts w:eastAsia="微软雅黑"/>
        </w:rPr>
        <w:t xml:space="preserve">. </w:t>
      </w:r>
      <w:r>
        <w:rPr>
          <w:rFonts w:hint="eastAsia" w:eastAsia="微软雅黑"/>
        </w:rPr>
        <w:t xml:space="preserve">In </w:t>
      </w:r>
      <w:r>
        <w:rPr>
          <w:rFonts w:eastAsia="微软雅黑"/>
        </w:rPr>
        <w:t>the case of m</w:t>
      </w:r>
      <w:r>
        <w:rPr>
          <w:rFonts w:hint="eastAsia" w:eastAsia="微软雅黑"/>
        </w:rPr>
        <w:t xml:space="preserve">TRP, a unified TCI state indicated by a TCI codepoint value in DCI format comprises one TCI state corresponding to one TRP (but no information on which TRP) or two TCI states corresponding to two TRPs. Meanwhile, the target channel/signal is also related to one or two TRPs. </w:t>
      </w:r>
    </w:p>
    <w:p>
      <w:pPr>
        <w:spacing w:after="120"/>
        <w:rPr>
          <w:rFonts w:eastAsia="微软雅黑"/>
        </w:rPr>
      </w:pPr>
      <w:r>
        <w:rPr>
          <w:rFonts w:hint="eastAsia" w:eastAsia="微软雅黑"/>
        </w:rPr>
        <w:t xml:space="preserve">Then, there are the following cases </w:t>
      </w:r>
      <w:r>
        <w:rPr>
          <w:rFonts w:eastAsia="微软雅黑"/>
        </w:rPr>
        <w:t xml:space="preserve">which </w:t>
      </w:r>
      <w:r>
        <w:rPr>
          <w:rFonts w:hint="eastAsia" w:eastAsia="微软雅黑"/>
        </w:rPr>
        <w:t>are need</w:t>
      </w:r>
      <w:r>
        <w:rPr>
          <w:rFonts w:eastAsia="微软雅黑"/>
        </w:rPr>
        <w:t>ed</w:t>
      </w:r>
      <w:r>
        <w:rPr>
          <w:rFonts w:hint="eastAsia" w:eastAsia="微软雅黑"/>
        </w:rPr>
        <w:t xml:space="preserve"> to be considered for TCI state updating for the target channel/signal:</w:t>
      </w:r>
    </w:p>
    <w:p>
      <w:pPr>
        <w:numPr>
          <w:ilvl w:val="0"/>
          <w:numId w:val="13"/>
        </w:numPr>
        <w:spacing w:after="120"/>
        <w:rPr>
          <w:rFonts w:eastAsia="微软雅黑"/>
        </w:rPr>
      </w:pPr>
      <w:r>
        <w:rPr>
          <w:rFonts w:hint="eastAsia" w:eastAsia="微软雅黑"/>
        </w:rPr>
        <w:t>Case 1:</w:t>
      </w:r>
      <w:r>
        <w:rPr>
          <w:rFonts w:eastAsia="微软雅黑"/>
        </w:rPr>
        <w:t xml:space="preserve"> Unified</w:t>
      </w:r>
      <w:r>
        <w:rPr>
          <w:rFonts w:hint="eastAsia" w:eastAsia="微软雅黑"/>
        </w:rPr>
        <w:t xml:space="preserve"> TCI </w:t>
      </w:r>
      <w:r>
        <w:rPr>
          <w:rFonts w:eastAsia="微软雅黑"/>
        </w:rPr>
        <w:t xml:space="preserve">codepoint with a single TCI state is applied to one given </w:t>
      </w:r>
      <w:r>
        <w:rPr>
          <w:rFonts w:hint="eastAsia" w:eastAsia="微软雅黑"/>
        </w:rPr>
        <w:t xml:space="preserve">TRP, </w:t>
      </w:r>
      <w:r>
        <w:rPr>
          <w:rFonts w:eastAsia="微软雅黑"/>
        </w:rPr>
        <w:t xml:space="preserve">and then </w:t>
      </w:r>
      <w:r>
        <w:rPr>
          <w:rFonts w:hint="eastAsia" w:eastAsia="微软雅黑"/>
        </w:rPr>
        <w:t xml:space="preserve">target channel/signal related to </w:t>
      </w:r>
      <w:r>
        <w:rPr>
          <w:rFonts w:eastAsia="微软雅黑"/>
        </w:rPr>
        <w:t>a single T</w:t>
      </w:r>
      <w:r>
        <w:rPr>
          <w:rFonts w:hint="eastAsia" w:eastAsia="微软雅黑"/>
        </w:rPr>
        <w:t>CI state</w:t>
      </w:r>
      <w:r>
        <w:rPr>
          <w:rFonts w:eastAsia="微软雅黑"/>
        </w:rPr>
        <w:t xml:space="preserve"> transmission</w:t>
      </w:r>
      <w:r>
        <w:rPr>
          <w:rFonts w:hint="eastAsia" w:eastAsia="微软雅黑"/>
        </w:rPr>
        <w:t xml:space="preserve"> correspon</w:t>
      </w:r>
      <w:r>
        <w:rPr>
          <w:rFonts w:eastAsia="微软雅黑"/>
        </w:rPr>
        <w:t>ds</w:t>
      </w:r>
      <w:r>
        <w:rPr>
          <w:rFonts w:hint="eastAsia" w:eastAsia="微软雅黑"/>
        </w:rPr>
        <w:t xml:space="preserve"> to </w:t>
      </w:r>
      <w:r>
        <w:rPr>
          <w:rFonts w:eastAsia="微软雅黑"/>
        </w:rPr>
        <w:t xml:space="preserve">the same </w:t>
      </w:r>
      <w:r>
        <w:rPr>
          <w:rFonts w:hint="eastAsia" w:eastAsia="微软雅黑"/>
        </w:rPr>
        <w:t>TRP</w:t>
      </w:r>
      <w:r>
        <w:rPr>
          <w:rFonts w:eastAsia="微软雅黑"/>
        </w:rPr>
        <w:t>.</w:t>
      </w:r>
    </w:p>
    <w:p>
      <w:pPr>
        <w:numPr>
          <w:ilvl w:val="0"/>
          <w:numId w:val="13"/>
        </w:numPr>
        <w:spacing w:after="120"/>
        <w:rPr>
          <w:rFonts w:eastAsia="微软雅黑"/>
        </w:rPr>
      </w:pPr>
      <w:r>
        <w:rPr>
          <w:rFonts w:hint="eastAsia" w:eastAsia="微软雅黑"/>
        </w:rPr>
        <w:t xml:space="preserve">Case 2: </w:t>
      </w:r>
      <w:r>
        <w:rPr>
          <w:rFonts w:eastAsia="微软雅黑"/>
        </w:rPr>
        <w:t>Unified</w:t>
      </w:r>
      <w:r>
        <w:rPr>
          <w:rFonts w:hint="eastAsia" w:eastAsia="微软雅黑"/>
        </w:rPr>
        <w:t xml:space="preserve"> TCI </w:t>
      </w:r>
      <w:r>
        <w:rPr>
          <w:rFonts w:eastAsia="微软雅黑"/>
        </w:rPr>
        <w:t xml:space="preserve">codepoint with </w:t>
      </w:r>
      <w:r>
        <w:rPr>
          <w:rFonts w:hint="eastAsia" w:eastAsia="微软雅黑"/>
        </w:rPr>
        <w:t xml:space="preserve">two TCI states </w:t>
      </w:r>
      <w:r>
        <w:rPr>
          <w:rFonts w:eastAsia="微软雅黑"/>
        </w:rPr>
        <w:t xml:space="preserve">is applied to two given </w:t>
      </w:r>
      <w:r>
        <w:rPr>
          <w:rFonts w:hint="eastAsia" w:eastAsia="微软雅黑"/>
        </w:rPr>
        <w:t>TRP</w:t>
      </w:r>
      <w:r>
        <w:rPr>
          <w:rFonts w:eastAsia="微软雅黑"/>
        </w:rPr>
        <w:t>s</w:t>
      </w:r>
      <w:r>
        <w:rPr>
          <w:rFonts w:hint="eastAsia" w:eastAsia="微软雅黑"/>
        </w:rPr>
        <w:t xml:space="preserve">, </w:t>
      </w:r>
      <w:r>
        <w:rPr>
          <w:rFonts w:eastAsia="微软雅黑"/>
        </w:rPr>
        <w:t xml:space="preserve">and then </w:t>
      </w:r>
      <w:r>
        <w:rPr>
          <w:rFonts w:hint="eastAsia" w:eastAsia="微软雅黑"/>
        </w:rPr>
        <w:t xml:space="preserve">target channel/signal related to </w:t>
      </w:r>
      <w:r>
        <w:rPr>
          <w:rFonts w:eastAsia="微软雅黑"/>
        </w:rPr>
        <w:t>a single</w:t>
      </w:r>
      <w:r>
        <w:rPr>
          <w:rFonts w:hint="eastAsia" w:eastAsia="微软雅黑"/>
        </w:rPr>
        <w:t xml:space="preserve"> TCI state</w:t>
      </w:r>
      <w:r>
        <w:rPr>
          <w:rFonts w:eastAsia="微软雅黑"/>
        </w:rPr>
        <w:t xml:space="preserve"> transmission</w:t>
      </w:r>
      <w:r>
        <w:rPr>
          <w:rFonts w:hint="eastAsia" w:eastAsia="微软雅黑"/>
        </w:rPr>
        <w:t xml:space="preserve"> correspond</w:t>
      </w:r>
      <w:r>
        <w:rPr>
          <w:rFonts w:eastAsia="微软雅黑"/>
        </w:rPr>
        <w:t>s</w:t>
      </w:r>
      <w:r>
        <w:rPr>
          <w:rFonts w:hint="eastAsia" w:eastAsia="微软雅黑"/>
        </w:rPr>
        <w:t xml:space="preserve"> to </w:t>
      </w:r>
      <w:r>
        <w:rPr>
          <w:rFonts w:eastAsia="微软雅黑"/>
        </w:rPr>
        <w:t>one of the two given TRPs.</w:t>
      </w:r>
    </w:p>
    <w:p>
      <w:pPr>
        <w:numPr>
          <w:ilvl w:val="0"/>
          <w:numId w:val="13"/>
        </w:numPr>
        <w:spacing w:after="120"/>
        <w:rPr>
          <w:rFonts w:eastAsia="微软雅黑"/>
        </w:rPr>
      </w:pPr>
      <w:r>
        <w:rPr>
          <w:rFonts w:hint="eastAsia" w:eastAsia="微软雅黑"/>
        </w:rPr>
        <w:t xml:space="preserve">Case 3: </w:t>
      </w:r>
      <w:r>
        <w:rPr>
          <w:rFonts w:eastAsia="微软雅黑"/>
        </w:rPr>
        <w:t>Unified</w:t>
      </w:r>
      <w:r>
        <w:rPr>
          <w:rFonts w:hint="eastAsia" w:eastAsia="微软雅黑"/>
        </w:rPr>
        <w:t xml:space="preserve"> TCI </w:t>
      </w:r>
      <w:r>
        <w:rPr>
          <w:rFonts w:eastAsia="微软雅黑"/>
        </w:rPr>
        <w:t xml:space="preserve">codepoint with a single </w:t>
      </w:r>
      <w:r>
        <w:rPr>
          <w:rFonts w:hint="eastAsia" w:eastAsia="微软雅黑"/>
        </w:rPr>
        <w:t xml:space="preserve">TCI state </w:t>
      </w:r>
      <w:r>
        <w:rPr>
          <w:rFonts w:eastAsia="微软雅黑"/>
        </w:rPr>
        <w:t xml:space="preserve">is applied to one given </w:t>
      </w:r>
      <w:r>
        <w:rPr>
          <w:rFonts w:hint="eastAsia" w:eastAsia="微软雅黑"/>
        </w:rPr>
        <w:t xml:space="preserve">TRP, </w:t>
      </w:r>
      <w:r>
        <w:rPr>
          <w:rFonts w:eastAsia="微软雅黑"/>
        </w:rPr>
        <w:t xml:space="preserve">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state</w:t>
      </w:r>
      <w:r>
        <w:rPr>
          <w:rFonts w:eastAsia="微软雅黑"/>
        </w:rPr>
        <w:t xml:space="preserve"> transmission</w:t>
      </w:r>
      <w:r>
        <w:rPr>
          <w:rFonts w:hint="eastAsia" w:eastAsia="微软雅黑"/>
        </w:rPr>
        <w:t xml:space="preserve"> correspond</w:t>
      </w:r>
      <w:r>
        <w:rPr>
          <w:rFonts w:eastAsia="微软雅黑"/>
        </w:rPr>
        <w:t xml:space="preserve">s </w:t>
      </w:r>
      <w:r>
        <w:rPr>
          <w:rFonts w:hint="eastAsia" w:eastAsia="微软雅黑"/>
        </w:rPr>
        <w:t xml:space="preserve">to </w:t>
      </w:r>
      <w:r>
        <w:rPr>
          <w:rFonts w:eastAsia="微软雅黑"/>
        </w:rPr>
        <w:t>two TRPs that include the given TRP.</w:t>
      </w:r>
    </w:p>
    <w:p>
      <w:pPr>
        <w:numPr>
          <w:ilvl w:val="0"/>
          <w:numId w:val="13"/>
        </w:numPr>
        <w:spacing w:after="120"/>
        <w:rPr>
          <w:rFonts w:eastAsia="微软雅黑"/>
        </w:rPr>
      </w:pPr>
      <w:r>
        <w:rPr>
          <w:rFonts w:hint="eastAsia" w:eastAsia="微软雅黑"/>
        </w:rPr>
        <w:t xml:space="preserve">Case 4: </w:t>
      </w:r>
      <w:r>
        <w:rPr>
          <w:rFonts w:eastAsia="微软雅黑"/>
        </w:rPr>
        <w:t>Unified</w:t>
      </w:r>
      <w:r>
        <w:rPr>
          <w:rFonts w:hint="eastAsia" w:eastAsia="微软雅黑"/>
        </w:rPr>
        <w:t xml:space="preserve"> TCI </w:t>
      </w:r>
      <w:r>
        <w:rPr>
          <w:rFonts w:eastAsia="微软雅黑"/>
        </w:rPr>
        <w:t>codepoint with</w:t>
      </w:r>
      <w:r>
        <w:rPr>
          <w:rFonts w:hint="eastAsia" w:eastAsia="微软雅黑"/>
        </w:rPr>
        <w:t xml:space="preserve"> two TCI states </w:t>
      </w:r>
      <w:r>
        <w:rPr>
          <w:rFonts w:eastAsia="微软雅黑"/>
        </w:rPr>
        <w:t xml:space="preserve">is applied to two given TRPs, 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 xml:space="preserve">state </w:t>
      </w:r>
      <w:r>
        <w:rPr>
          <w:rFonts w:eastAsia="微软雅黑"/>
        </w:rPr>
        <w:t xml:space="preserve">transmission </w:t>
      </w:r>
      <w:r>
        <w:rPr>
          <w:rFonts w:hint="eastAsia" w:eastAsia="微软雅黑"/>
        </w:rPr>
        <w:t>correspond</w:t>
      </w:r>
      <w:r>
        <w:rPr>
          <w:rFonts w:eastAsia="微软雅黑"/>
        </w:rPr>
        <w:t>s</w:t>
      </w:r>
      <w:r>
        <w:rPr>
          <w:rFonts w:hint="eastAsia" w:eastAsia="微软雅黑"/>
        </w:rPr>
        <w:t xml:space="preserve"> </w:t>
      </w:r>
      <w:r>
        <w:rPr>
          <w:rFonts w:eastAsia="微软雅黑"/>
        </w:rPr>
        <w:t>to those two TRPs.</w:t>
      </w:r>
    </w:p>
    <w:p>
      <w:pPr>
        <w:spacing w:after="120"/>
      </w:pPr>
      <w:r>
        <w:rPr>
          <w:rFonts w:eastAsia="微软雅黑"/>
        </w:rPr>
        <w:t xml:space="preserve">Straightforwardly, in </w:t>
      </w:r>
      <w:r>
        <w:rPr>
          <w:rFonts w:hint="eastAsia"/>
        </w:rPr>
        <w:t>mTRP scenario, a TCI state can be explicitly or implicitly associated with a TRP ID information, and the resource (set) of DL or UL control channels or reference signals can also be explicitly or implicitly associated with a TRP ID information,</w:t>
      </w:r>
      <w:r>
        <w:t xml:space="preserve"> and</w:t>
      </w:r>
      <w:r>
        <w:rPr>
          <w:rFonts w:hint="eastAsia"/>
        </w:rPr>
        <w:t xml:space="preserve"> then multiple (i.e. M/N) TCI states can be applied to the target DL or UL channels or signals according to the associated TRP ID information. </w:t>
      </w:r>
    </w:p>
    <w:p>
      <w:pPr>
        <w:spacing w:after="120"/>
        <w:rPr>
          <w:rFonts w:eastAsia="微软雅黑"/>
          <w:i/>
          <w:iCs/>
        </w:rPr>
      </w:pPr>
      <w:r>
        <w:rPr>
          <w:rFonts w:hint="eastAsia" w:eastAsia="微软雅黑"/>
          <w:b/>
          <w:bCs/>
          <w:i/>
          <w:iCs/>
        </w:rPr>
        <w:t>Proposal 3:</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2"/>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spacing w:after="120"/>
        <w:rPr>
          <w:rFonts w:eastAsia="微软雅黑"/>
        </w:rPr>
      </w:pPr>
      <w:r>
        <w:rPr>
          <w:rFonts w:eastAsia="微软雅黑"/>
        </w:rPr>
        <w:t>For the sake of presentation, we elaborate the detailed solution for each type of channels/signals as follows.</w:t>
      </w:r>
    </w:p>
    <w:p>
      <w:pPr>
        <w:pStyle w:val="129"/>
        <w:numPr>
          <w:ilvl w:val="0"/>
          <w:numId w:val="12"/>
        </w:numPr>
        <w:spacing w:after="120"/>
      </w:pPr>
      <w:r>
        <w:rPr>
          <w:rFonts w:eastAsia="微软雅黑"/>
        </w:rPr>
        <w:t>For UL channels/signals,</w:t>
      </w:r>
    </w:p>
    <w:p>
      <w:pPr>
        <w:numPr>
          <w:ilvl w:val="0"/>
          <w:numId w:val="14"/>
        </w:numPr>
        <w:spacing w:after="120"/>
        <w:ind w:left="780"/>
      </w:pPr>
      <w:r>
        <w:rPr>
          <w:rFonts w:hint="eastAsia"/>
        </w:rPr>
        <w:t>Regarding SRS, up to N SRS resource sets for codebook or non-codebook can be supported/configured. Each SRS resource set is associated with a TRP ID info</w:t>
      </w:r>
      <w:r>
        <w:t>rmation</w:t>
      </w:r>
      <w:r>
        <w:rPr>
          <w:rFonts w:hint="eastAsia"/>
        </w:rPr>
        <w:t>. An indicated TCI state which is associated with a TRP ID among N TCI states is applied to all the SRS resources in the SRS resource set which is associated with the same TRP ID.</w:t>
      </w:r>
    </w:p>
    <w:p>
      <w:pPr>
        <w:numPr>
          <w:ilvl w:val="0"/>
          <w:numId w:val="14"/>
        </w:numPr>
        <w:spacing w:after="120"/>
        <w:ind w:left="780"/>
      </w:pPr>
      <w:r>
        <w:rPr>
          <w:rFonts w:hint="eastAsia"/>
        </w:rPr>
        <w:t xml:space="preserve">Regarding PUSCH, a DCI scheduling a PUSCH transmission indicates one or two SRIs and their SRS resource set IDs, </w:t>
      </w:r>
      <w:r>
        <w:t xml:space="preserve">and </w:t>
      </w:r>
      <w:r>
        <w:rPr>
          <w:rFonts w:hint="eastAsia"/>
        </w:rPr>
        <w:t xml:space="preserve">the </w:t>
      </w:r>
      <w:r>
        <w:t xml:space="preserve">corresponding </w:t>
      </w:r>
      <w:r>
        <w:rPr>
          <w:rFonts w:hint="eastAsia"/>
        </w:rPr>
        <w:t xml:space="preserve">details </w:t>
      </w:r>
      <w:r>
        <w:t>can be found in our companion contribution [</w:t>
      </w:r>
      <w:r>
        <w:rPr>
          <w:rFonts w:hint="eastAsia"/>
        </w:rPr>
        <w:t>1</w:t>
      </w:r>
      <w:r>
        <w:t>]</w:t>
      </w:r>
      <w:r>
        <w:rPr>
          <w:rFonts w:hint="eastAsia"/>
        </w:rPr>
        <w:t xml:space="preserve">. </w:t>
      </w:r>
      <w:r>
        <w:t xml:space="preserve">In our views, this approach can also be </w:t>
      </w:r>
      <w:r>
        <w:rPr>
          <w:rFonts w:hint="eastAsia"/>
        </w:rPr>
        <w:t xml:space="preserve">used for PUSCH transmission in the case of unified TCI. Alternatively, </w:t>
      </w:r>
      <w:r>
        <w:t xml:space="preserve">especially </w:t>
      </w:r>
      <w:r>
        <w:rPr>
          <w:rFonts w:hint="eastAsia"/>
        </w:rPr>
        <w:t xml:space="preserve">for </w:t>
      </w:r>
      <w:r>
        <w:t>mDCI-m</w:t>
      </w:r>
      <w:r>
        <w:rPr>
          <w:rFonts w:hint="eastAsia"/>
        </w:rPr>
        <w:t xml:space="preserve">TRP case, unified TCI can be used to select SRS resource set, </w:t>
      </w:r>
      <w:r>
        <w:t xml:space="preserve">and only </w:t>
      </w:r>
      <w:r>
        <w:rPr>
          <w:rFonts w:hint="eastAsia"/>
        </w:rPr>
        <w:t xml:space="preserve">SRI </w:t>
      </w:r>
      <w:r>
        <w:t xml:space="preserve">field in the scheduling DCI </w:t>
      </w:r>
      <w:r>
        <w:rPr>
          <w:rFonts w:hint="eastAsia"/>
        </w:rPr>
        <w:t xml:space="preserve">is interpreted based on the selected set. </w:t>
      </w:r>
    </w:p>
    <w:p>
      <w:pPr>
        <w:numPr>
          <w:ilvl w:val="0"/>
          <w:numId w:val="14"/>
        </w:numPr>
        <w:spacing w:after="120"/>
        <w:ind w:left="780"/>
      </w:pPr>
      <w:r>
        <w:rPr>
          <w:rFonts w:hint="eastAsia"/>
        </w:rPr>
        <w:t xml:space="preserve">Regarding PUCCH, each PUCCH resource (group) can be associated with a TRP ID information. An indicated TCI state which is associated with a TRP ID among N TCI states is applied to </w:t>
      </w:r>
      <w:r>
        <w:t xml:space="preserve">all </w:t>
      </w:r>
      <w:r>
        <w:rPr>
          <w:rFonts w:hint="eastAsia"/>
        </w:rPr>
        <w:t xml:space="preserve">PUCCH resources which are associated with the same TRP ID. Alternatively, </w:t>
      </w:r>
      <w:r>
        <w:t xml:space="preserve">especially for sDCI-mTRP case, </w:t>
      </w:r>
      <w:r>
        <w:rPr>
          <w:rFonts w:hint="eastAsia"/>
        </w:rPr>
        <w:t>each PUCCH resource can be associated with up to two TRP ID information, such as two PUCCH spatial</w:t>
      </w:r>
      <w:r>
        <w:t xml:space="preserve"> </w:t>
      </w:r>
      <w:r>
        <w:rPr>
          <w:rFonts w:hint="eastAsia"/>
        </w:rPr>
        <w:t>relations corresponding to two TRPs, as which is under discussion in MTRP topic for PUCCH repetitions</w:t>
      </w:r>
      <w:r>
        <w:t xml:space="preserve"> [</w:t>
      </w:r>
      <w:r>
        <w:rPr>
          <w:rFonts w:hint="eastAsia"/>
        </w:rPr>
        <w:t>1</w:t>
      </w:r>
      <w:r>
        <w:t>]</w:t>
      </w:r>
      <w:r>
        <w:rPr>
          <w:rFonts w:hint="eastAsia"/>
        </w:rPr>
        <w:t>.</w:t>
      </w:r>
    </w:p>
    <w:p>
      <w:pPr>
        <w:pStyle w:val="129"/>
        <w:numPr>
          <w:ilvl w:val="0"/>
          <w:numId w:val="12"/>
        </w:numPr>
        <w:spacing w:after="120"/>
      </w:pPr>
      <w:r>
        <w:t xml:space="preserve">For DL </w:t>
      </w:r>
      <w:r>
        <w:rPr>
          <w:rFonts w:eastAsia="微软雅黑"/>
        </w:rPr>
        <w:t>channels/signals</w:t>
      </w:r>
      <w:r>
        <w:t>,</w:t>
      </w:r>
    </w:p>
    <w:p>
      <w:pPr>
        <w:numPr>
          <w:ilvl w:val="0"/>
          <w:numId w:val="14"/>
        </w:numPr>
        <w:spacing w:after="120"/>
        <w:ind w:left="780"/>
      </w:pPr>
      <w:r>
        <w:rPr>
          <w:rFonts w:hint="eastAsia"/>
        </w:rPr>
        <w:t>Regarding PDCCH, a CORSET can be associated with a TRP ID information</w:t>
      </w:r>
      <w:r>
        <w:t xml:space="preserve"> for both mDCI-mTRP and sDCI-mTRP cases</w:t>
      </w:r>
      <w:r>
        <w:rPr>
          <w:rFonts w:hint="eastAsia"/>
        </w:rPr>
        <w:t>, such as CORESET pool ID in Rel-16. An indicated TCI state which is associated with a TRP ID among M TCI states is applied to the CORESET</w:t>
      </w:r>
      <w:r>
        <w:t>(</w:t>
      </w:r>
      <w:r>
        <w:rPr>
          <w:rFonts w:hint="eastAsia"/>
        </w:rPr>
        <w:t>s</w:t>
      </w:r>
      <w:r>
        <w:t>)</w:t>
      </w:r>
      <w:r>
        <w:rPr>
          <w:rFonts w:hint="eastAsia"/>
        </w:rPr>
        <w:t xml:space="preserve"> which are associated with the same TRP ID. </w:t>
      </w:r>
    </w:p>
    <w:p>
      <w:pPr>
        <w:numPr>
          <w:ilvl w:val="0"/>
          <w:numId w:val="14"/>
        </w:numPr>
        <w:spacing w:after="120"/>
        <w:ind w:left="780"/>
      </w:pPr>
      <w:r>
        <w:t xml:space="preserve">Regarding PDSCH, the indicated unified TCI states can be applied to a PDSCH transmission after application time. Note that, if the offset between DL DCI and the PDSCH is less than the threshold </w:t>
      </w:r>
      <w:r>
        <w:rPr>
          <w:i/>
          <w:iCs/>
        </w:rPr>
        <w:t>timeDurationForQCL</w:t>
      </w:r>
      <w:r>
        <w:t xml:space="preserve">, </w:t>
      </w:r>
      <w:r>
        <w:rPr>
          <w:rFonts w:hint="eastAsia"/>
        </w:rPr>
        <w:t xml:space="preserve">the current/latest effective unified TCI state for PDSCH is used for determining the DM-RS ports of the PDSCH, instead of a default beam </w:t>
      </w:r>
      <w:r>
        <w:t>approach specified as in Rel-15/Rel-16.</w:t>
      </w:r>
    </w:p>
    <w:p>
      <w:pPr>
        <w:numPr>
          <w:ilvl w:val="0"/>
          <w:numId w:val="14"/>
        </w:numPr>
        <w:spacing w:after="120"/>
        <w:ind w:left="780"/>
      </w:pPr>
      <w:r>
        <w:rPr>
          <w:rFonts w:hint="eastAsia"/>
        </w:rPr>
        <w:t xml:space="preserve">Regarding CSI-RS, whether a unified TCI can be applied to CSI-RS is still FFS. </w:t>
      </w:r>
      <w:r>
        <w:t>If</w:t>
      </w:r>
      <w:r>
        <w:rPr>
          <w:rFonts w:hint="eastAsia"/>
        </w:rPr>
        <w:t xml:space="preserve"> it is supported, CSI-RS resource set can be associated with TRP ID information. An indicated TCI state which is associated with a TRP ID among M TCI states is applied to the CSI-RS resources in the CSI-RS resource sets which are associated with the same TRP ID.</w:t>
      </w:r>
    </w:p>
    <w:p>
      <w:pPr>
        <w:pStyle w:val="3"/>
        <w:spacing w:before="240" w:after="120"/>
        <w:ind w:left="709" w:hanging="709"/>
        <w:rPr>
          <w:lang w:val="en-US"/>
        </w:rPr>
      </w:pPr>
      <w:r>
        <w:rPr>
          <w:rFonts w:hint="eastAsia"/>
          <w:lang w:val="en-US"/>
        </w:rPr>
        <w:t xml:space="preserve">Power control for uplink </w:t>
      </w:r>
      <w:r>
        <w:rPr>
          <w:rFonts w:hint="eastAsia" w:eastAsia="微软雅黑"/>
          <w:szCs w:val="20"/>
          <w:lang w:val="en-US"/>
        </w:rPr>
        <w:t>transmission</w:t>
      </w:r>
    </w:p>
    <w:p>
      <w:pPr>
        <w:spacing w:after="120"/>
      </w:pPr>
      <w:r>
        <w:rPr>
          <w:rFonts w:hint="eastAsia"/>
        </w:rPr>
        <w:t>As for power control framework, open-loop power control parameters, e.g. P0 and alpha, closed-loop power control parameter, and PL-RS can be associated with UL TCI state or joint DL and UL TCI state in RRC. PL-RS can be configured by RRC, the number of configured PL-RSs can be up to 64. When the TCI state is activated by a MAC CE, the total number of activated TCI states may be up to 8, then the number of PL-RSs could be at most 8. But a UE can only support at most 4 active PL-RSs</w:t>
      </w:r>
      <w:r>
        <w:t xml:space="preserve"> to be</w:t>
      </w:r>
      <w:r>
        <w:rPr>
          <w:rFonts w:hint="eastAsia"/>
        </w:rPr>
        <w:t xml:space="preserve"> monitored by a UE. To solve this problem, it should be supported to update PL-RS for an </w:t>
      </w:r>
      <w:r>
        <w:t>activated TCI</w:t>
      </w:r>
      <w:r>
        <w:rPr>
          <w:rFonts w:hint="eastAsia"/>
        </w:rPr>
        <w:t xml:space="preserve"> state in MAC CE.</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Proposal 4:</w:t>
      </w:r>
      <w:r>
        <w:rPr>
          <w:rFonts w:hint="eastAsia"/>
          <w:i/>
          <w:iCs/>
        </w:rPr>
        <w:t xml:space="preserve"> Regarding power control framework for unified TCI</w:t>
      </w:r>
      <w:r>
        <w:rPr>
          <w:i/>
          <w:iCs/>
        </w:rPr>
        <w:t xml:space="preserve"> for mTRP</w:t>
      </w:r>
      <w:r>
        <w:rPr>
          <w:rFonts w:hint="eastAsia"/>
          <w:i/>
          <w:iCs/>
        </w:rPr>
        <w:t>,</w:t>
      </w:r>
    </w:p>
    <w:p>
      <w:pPr>
        <w:numPr>
          <w:ilvl w:val="0"/>
          <w:numId w:val="12"/>
        </w:numPr>
        <w:overflowPunct w:val="0"/>
        <w:autoSpaceDE w:val="0"/>
        <w:autoSpaceDN w:val="0"/>
        <w:adjustRightInd w:val="0"/>
        <w:spacing w:before="120" w:beforeLines="50" w:after="120" w:afterLines="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pStyle w:val="2"/>
        <w:spacing w:before="240" w:after="120"/>
        <w:rPr>
          <w:lang w:val="en-US"/>
        </w:rPr>
      </w:pPr>
      <w:r>
        <w:rPr>
          <w:lang w:val="en-US"/>
        </w:rPr>
        <w:t>E</w:t>
      </w:r>
      <w:r>
        <w:rPr>
          <w:rFonts w:hint="eastAsia"/>
          <w:lang w:val="en-US"/>
        </w:rPr>
        <w:t>valuation</w:t>
      </w:r>
      <w:r>
        <w:rPr>
          <w:lang w:val="en-US"/>
        </w:rPr>
        <w:t xml:space="preserve"> results for L1-SINR reporting in a multi-TRP scenari</w:t>
      </w:r>
      <w:r>
        <w:rPr>
          <w:rFonts w:hint="eastAsia"/>
          <w:lang w:val="en-US"/>
        </w:rPr>
        <w:t>o</w:t>
      </w:r>
    </w:p>
    <w:p>
      <w:pPr>
        <w:pStyle w:val="3"/>
        <w:spacing w:before="240" w:after="120"/>
        <w:ind w:left="709"/>
        <w:rPr>
          <w:rFonts w:eastAsia="微软雅黑"/>
          <w:szCs w:val="20"/>
          <w:lang w:val="en-US"/>
        </w:rPr>
      </w:pPr>
      <w:r>
        <w:rPr>
          <w:rFonts w:hint="eastAsia" w:eastAsia="微软雅黑"/>
          <w:szCs w:val="20"/>
          <w:lang w:val="en-US"/>
        </w:rPr>
        <w:t>Evaluation assumption</w:t>
      </w:r>
    </w:p>
    <w:p>
      <w:pPr>
        <w:snapToGrid w:val="0"/>
        <w:spacing w:after="120"/>
      </w:pPr>
      <w:r>
        <w:rPr>
          <w:rFonts w:eastAsia="微软雅黑"/>
        </w:rPr>
        <w:t xml:space="preserve"> </w:t>
      </w:r>
      <w:r>
        <w:rPr>
          <w:rFonts w:hint="eastAsia"/>
        </w:rPr>
        <w:t>In this section, we evaluate DL simultaneous transmission in one multi-TRP case. In the setup, we have 2 TRPs, each of which has 4 panels, and two panels (back to back) at the UE side.  Each panel contains two TXRUs for dual-polarization. TRP and UE sweep all Tx-Rx beam pairs</w:t>
      </w:r>
      <w:r>
        <w:rPr>
          <w:rFonts w:hint="eastAsia"/>
          <w:lang w:val="en-GB"/>
        </w:rPr>
        <w:t xml:space="preserve"> with oversampling factor of (O1, O2) = (1, 1)</w:t>
      </w:r>
      <w:r>
        <w:rPr>
          <w:rFonts w:hint="eastAsia"/>
        </w:rPr>
        <w:t>. One fixed TRP panel with dual polarization is used at TRP side for Tx analog beam sweeping, while both two UE panels with dual-polarization are used for Rx analog beam sweeping at UE side. In this case, UE speed is set as 3km/h. This evaluation scenario can be found in Figure 2.</w:t>
      </w:r>
    </w:p>
    <w:p>
      <w:pPr>
        <w:numPr>
          <w:ilvl w:val="0"/>
          <w:numId w:val="15"/>
        </w:numPr>
        <w:autoSpaceDE w:val="0"/>
        <w:autoSpaceDN w:val="0"/>
        <w:adjustRightInd w:val="0"/>
        <w:snapToGrid w:val="0"/>
        <w:spacing w:after="120"/>
        <w:rPr>
          <w:kern w:val="2"/>
          <w:u w:val="single"/>
          <w:lang w:val="en-GB"/>
        </w:rPr>
      </w:pPr>
      <w:r>
        <w:rPr>
          <w:rFonts w:hint="eastAsia"/>
          <w:u w:val="single"/>
        </w:rPr>
        <w:t xml:space="preserve">Regarding </w:t>
      </w:r>
      <w:r>
        <w:rPr>
          <w:u w:val="single"/>
        </w:rPr>
        <w:t>definition of metric of beam reporting</w:t>
      </w:r>
      <w:r>
        <w:rPr>
          <w:rFonts w:hint="eastAsia"/>
          <w:u w:val="single"/>
        </w:rPr>
        <w:t xml:space="preserve">, </w:t>
      </w:r>
    </w:p>
    <w:p>
      <w:pPr>
        <w:numPr>
          <w:ilvl w:val="1"/>
          <w:numId w:val="15"/>
        </w:numPr>
        <w:autoSpaceDE w:val="0"/>
        <w:autoSpaceDN w:val="0"/>
        <w:adjustRightInd w:val="0"/>
        <w:snapToGrid w:val="0"/>
        <w:spacing w:after="120"/>
        <w:rPr>
          <w:kern w:val="2"/>
          <w:lang w:val="en-GB"/>
        </w:rPr>
      </w:pPr>
      <w:r>
        <w:t xml:space="preserve">L1-RSRP: 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p>
    <w:p>
      <w:pPr>
        <w:numPr>
          <w:ilvl w:val="2"/>
          <w:numId w:val="15"/>
        </w:numPr>
        <w:autoSpaceDE w:val="0"/>
        <w:autoSpaceDN w:val="0"/>
        <w:adjustRightInd w:val="0"/>
        <w:snapToGrid w:val="0"/>
        <w:spacing w:after="120"/>
        <w:rPr>
          <w:kern w:val="2"/>
          <w:lang w:val="en-GB"/>
        </w:rPr>
      </w:pPr>
      <w:r>
        <w:t>In this case, interference beams are not considered for beam selection for reporting.</w:t>
      </w:r>
    </w:p>
    <w:p>
      <w:pPr>
        <w:numPr>
          <w:ilvl w:val="1"/>
          <w:numId w:val="15"/>
        </w:numPr>
        <w:autoSpaceDE w:val="0"/>
        <w:autoSpaceDN w:val="0"/>
        <w:adjustRightInd w:val="0"/>
        <w:snapToGrid w:val="0"/>
        <w:spacing w:after="120"/>
        <w:rPr>
          <w:kern w:val="2"/>
          <w:lang w:val="en-GB"/>
        </w:rPr>
      </w:pPr>
      <w:r>
        <w:rPr>
          <w:lang w:val="en-GB"/>
        </w:rPr>
        <w:t xml:space="preserve">L1-SINR without IMR: </w:t>
      </w:r>
      <w:r>
        <w:t xml:space="preserve">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r>
        <w:t xml:space="preserve">divided by the linear average of the noise and interference power contribution (in </w:t>
      </w:r>
      <w:r>
        <w:rPr>
          <w:rFonts w:hint="eastAsia"/>
        </w:rPr>
        <w:t>[</w:t>
      </w:r>
      <w:r>
        <w:t>W</w:t>
      </w:r>
      <w:r>
        <w:rPr>
          <w:rFonts w:hint="eastAsia"/>
        </w:rPr>
        <w:t>]</w:t>
      </w:r>
      <w:r>
        <w:t xml:space="preserve">) </w:t>
      </w:r>
      <w:r>
        <w:rPr>
          <w:rFonts w:hint="eastAsia"/>
        </w:rPr>
        <w:t>over</w:t>
      </w:r>
      <w:r>
        <w:t xml:space="preserve"> the resource elements carrying RS</w:t>
      </w:r>
      <w:r>
        <w:rPr>
          <w:rFonts w:hint="eastAsia"/>
        </w:rPr>
        <w:t>.</w:t>
      </w:r>
    </w:p>
    <w:p>
      <w:pPr>
        <w:numPr>
          <w:ilvl w:val="2"/>
          <w:numId w:val="15"/>
        </w:numPr>
        <w:autoSpaceDE w:val="0"/>
        <w:autoSpaceDN w:val="0"/>
        <w:adjustRightInd w:val="0"/>
        <w:snapToGrid w:val="0"/>
        <w:spacing w:after="120"/>
        <w:rPr>
          <w:kern w:val="2"/>
          <w:lang w:val="en-GB"/>
        </w:rPr>
      </w:pPr>
      <w:r>
        <w:t xml:space="preserve">In this case, </w:t>
      </w:r>
      <w:r>
        <w:rPr>
          <w:rFonts w:hint="eastAsia"/>
        </w:rPr>
        <w:t>UE may assume the same CMR is used for both channel and interference measurements</w:t>
      </w:r>
      <w:r>
        <w:t>.</w:t>
      </w:r>
    </w:p>
    <w:p>
      <w:pPr>
        <w:numPr>
          <w:ilvl w:val="1"/>
          <w:numId w:val="15"/>
        </w:numPr>
        <w:autoSpaceDE w:val="0"/>
        <w:autoSpaceDN w:val="0"/>
        <w:adjustRightInd w:val="0"/>
        <w:snapToGrid w:val="0"/>
        <w:spacing w:after="120"/>
        <w:rPr>
          <w:kern w:val="2"/>
          <w:lang w:val="en-GB"/>
        </w:rPr>
      </w:pPr>
      <w:r>
        <w:t xml:space="preserve">L1-SINR with IMR: 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r>
        <w:t xml:space="preserve">divided by the linear average of the noise and interference power contribution (in </w:t>
      </w:r>
      <w:r>
        <w:rPr>
          <w:rFonts w:hint="eastAsia"/>
        </w:rPr>
        <w:t>[</w:t>
      </w:r>
      <w:r>
        <w:t>W</w:t>
      </w:r>
      <w:r>
        <w:rPr>
          <w:rFonts w:hint="eastAsia"/>
        </w:rPr>
        <w:t>]</w:t>
      </w:r>
      <w:r>
        <w:t xml:space="preserve">) </w:t>
      </w:r>
      <w:r>
        <w:rPr>
          <w:rFonts w:hint="eastAsia"/>
        </w:rPr>
        <w:t>over</w:t>
      </w:r>
      <w:r>
        <w:t xml:space="preserve"> the the resource elements of interference measurement resource (IMR).</w:t>
      </w:r>
    </w:p>
    <w:p>
      <w:pPr>
        <w:numPr>
          <w:ilvl w:val="2"/>
          <w:numId w:val="15"/>
        </w:numPr>
        <w:autoSpaceDE w:val="0"/>
        <w:autoSpaceDN w:val="0"/>
        <w:adjustRightInd w:val="0"/>
        <w:snapToGrid w:val="0"/>
        <w:spacing w:after="120"/>
        <w:rPr>
          <w:kern w:val="2"/>
          <w:lang w:val="en-GB"/>
        </w:rPr>
      </w:pPr>
      <w:r>
        <w:t xml:space="preserve">In this case, </w:t>
      </w:r>
      <w:r>
        <w:rPr>
          <w:rFonts w:hint="eastAsia"/>
        </w:rPr>
        <w:t>UE may assume the one CMR is used for channel measurement and one IMR is used for interference measurement.</w:t>
      </w:r>
    </w:p>
    <w:p>
      <w:pPr>
        <w:snapToGrid w:val="0"/>
        <w:spacing w:after="120"/>
      </w:pPr>
    </w:p>
    <w:p>
      <w:pPr>
        <w:snapToGrid w:val="0"/>
        <w:spacing w:after="120"/>
        <w:jc w:val="center"/>
      </w:pPr>
      <w:r>
        <w:object>
          <v:shape id="_x0000_i1026" o:spt="75" type="#_x0000_t75" style="height:569pt;width:427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p>
    <w:p>
      <w:pPr>
        <w:spacing w:before="120" w:after="120" w:line="240" w:lineRule="auto"/>
        <w:jc w:val="center"/>
      </w:pPr>
      <w:r>
        <w:rPr>
          <w:b/>
        </w:rPr>
        <w:t xml:space="preserve">Figure </w:t>
      </w:r>
      <w:r>
        <w:rPr>
          <w:rFonts w:hint="eastAsia"/>
          <w:b/>
        </w:rPr>
        <w:t>2</w:t>
      </w:r>
      <w:r>
        <w:rPr>
          <w:b/>
        </w:rPr>
        <w:t xml:space="preserve"> </w:t>
      </w:r>
      <w:r>
        <w:t>RSRP/SINR based reporting of (a) non-group based and (b) group based approaches in a multi-TRP case</w:t>
      </w:r>
    </w:p>
    <w:p>
      <w:pPr>
        <w:numPr>
          <w:ilvl w:val="0"/>
          <w:numId w:val="15"/>
        </w:numPr>
        <w:autoSpaceDE w:val="0"/>
        <w:autoSpaceDN w:val="0"/>
        <w:adjustRightInd w:val="0"/>
        <w:snapToGrid w:val="0"/>
        <w:spacing w:after="120"/>
      </w:pPr>
      <w:r>
        <w:rPr>
          <w:rFonts w:hint="eastAsia"/>
          <w:u w:val="single"/>
        </w:rPr>
        <w:t>Regarding</w:t>
      </w:r>
      <w:r>
        <w:rPr>
          <w:u w:val="single"/>
        </w:rPr>
        <w:t xml:space="preserve"> format of</w:t>
      </w:r>
      <w:r>
        <w:rPr>
          <w:rFonts w:hint="eastAsia"/>
          <w:u w:val="single"/>
        </w:rPr>
        <w:t xml:space="preserve"> </w:t>
      </w:r>
      <w:r>
        <w:rPr>
          <w:u w:val="single"/>
        </w:rPr>
        <w:t>beam reporting</w:t>
      </w:r>
      <w:r>
        <w:t xml:space="preserve"> </w:t>
      </w:r>
    </w:p>
    <w:p>
      <w:pPr>
        <w:numPr>
          <w:ilvl w:val="1"/>
          <w:numId w:val="15"/>
        </w:numPr>
        <w:autoSpaceDE w:val="0"/>
        <w:autoSpaceDN w:val="0"/>
        <w:adjustRightInd w:val="0"/>
        <w:snapToGrid w:val="0"/>
        <w:spacing w:after="120"/>
        <w:rPr>
          <w:kern w:val="2"/>
          <w:lang w:val="en-GB"/>
        </w:rPr>
      </w:pPr>
      <w:r>
        <w:rPr>
          <w:kern w:val="2"/>
          <w:lang w:val="en-GB"/>
        </w:rPr>
        <w:t>Group based reporting:</w:t>
      </w:r>
    </w:p>
    <w:p>
      <w:pPr>
        <w:numPr>
          <w:ilvl w:val="2"/>
          <w:numId w:val="15"/>
        </w:numPr>
        <w:autoSpaceDE w:val="0"/>
        <w:autoSpaceDN w:val="0"/>
        <w:adjustRightInd w:val="0"/>
        <w:snapToGrid w:val="0"/>
        <w:spacing w:after="120"/>
        <w:rPr>
          <w:kern w:val="2"/>
          <w:lang w:val="en-GB"/>
        </w:rPr>
      </w:pPr>
      <w:r>
        <w:rPr>
          <w:rFonts w:hint="eastAsia"/>
          <w:kern w:val="2"/>
          <w:lang w:val="en-GB"/>
        </w:rPr>
        <w:t>I</w:t>
      </w:r>
      <w:r>
        <w:rPr>
          <w:kern w:val="2"/>
          <w:lang w:val="en-GB"/>
        </w:rPr>
        <w:t xml:space="preserve">n UE side, one </w:t>
      </w:r>
      <w:r>
        <w:rPr>
          <w:rFonts w:hint="eastAsia"/>
          <w:kern w:val="2"/>
          <w:lang w:val="en-GB"/>
        </w:rPr>
        <w:t xml:space="preserve">best </w:t>
      </w:r>
      <w:r>
        <w:rPr>
          <w:kern w:val="2"/>
          <w:lang w:val="en-GB"/>
        </w:rPr>
        <w:t>R</w:t>
      </w:r>
      <w:r>
        <w:rPr>
          <w:rFonts w:hint="eastAsia"/>
          <w:kern w:val="2"/>
          <w:lang w:val="en-GB"/>
        </w:rPr>
        <w:t xml:space="preserve">x beam </w:t>
      </w:r>
      <w:r>
        <w:rPr>
          <w:kern w:val="2"/>
          <w:lang w:val="en-GB"/>
        </w:rPr>
        <w:t xml:space="preserve">and its corresponding TRP </w:t>
      </w:r>
      <w:r>
        <w:rPr>
          <w:rFonts w:hint="eastAsia"/>
          <w:kern w:val="2"/>
          <w:lang w:val="en-GB"/>
        </w:rPr>
        <w:t>per UE panel</w:t>
      </w:r>
      <w:r>
        <w:rPr>
          <w:kern w:val="2"/>
          <w:lang w:val="en-GB"/>
        </w:rPr>
        <w:t xml:space="preserve"> is selected with the objective of maximizing L1-RSRP/L1-SINR according to DL beam measurement. Notice that, in this case, these two UE panel</w:t>
      </w:r>
      <w:r>
        <w:rPr>
          <w:rFonts w:hint="eastAsia"/>
          <w:kern w:val="2"/>
        </w:rPr>
        <w:t>s</w:t>
      </w:r>
      <w:r>
        <w:rPr>
          <w:kern w:val="2"/>
          <w:lang w:val="en-GB"/>
        </w:rPr>
        <w:t xml:space="preserve"> can be attached with one same TRP or different one.</w:t>
      </w:r>
    </w:p>
    <w:p>
      <w:pPr>
        <w:numPr>
          <w:ilvl w:val="2"/>
          <w:numId w:val="15"/>
        </w:numPr>
        <w:autoSpaceDE w:val="0"/>
        <w:autoSpaceDN w:val="0"/>
        <w:adjustRightInd w:val="0"/>
        <w:snapToGrid w:val="0"/>
        <w:spacing w:after="120"/>
        <w:rPr>
          <w:kern w:val="2"/>
          <w:lang w:val="en-GB"/>
        </w:rPr>
      </w:pPr>
      <w:r>
        <w:rPr>
          <w:rFonts w:hint="eastAsia"/>
        </w:rPr>
        <w:t xml:space="preserve">In gNB side, two different best TX beams, each of which is determined per UE Rx beam and panel, are reported and subsequently are used for different TRP/panel, respective. Notice that, according to the attachment result per UE panel, one corresponding TRP panel is introduced for the subsequent data transmission.  </w:t>
      </w:r>
    </w:p>
    <w:p>
      <w:pPr>
        <w:spacing w:after="120"/>
      </w:pPr>
      <w:r>
        <w:rPr>
          <w:rFonts w:hint="eastAsia"/>
        </w:rPr>
        <w:t>Some more details on evaluation assumption can be found in Table 3 in Appendix.</w:t>
      </w:r>
    </w:p>
    <w:p>
      <w:pPr>
        <w:pStyle w:val="3"/>
        <w:spacing w:before="240" w:after="120"/>
        <w:ind w:left="709"/>
        <w:rPr>
          <w:rFonts w:eastAsia="微软雅黑"/>
          <w:szCs w:val="20"/>
          <w:lang w:val="en-US"/>
        </w:rPr>
      </w:pPr>
      <w:r>
        <w:rPr>
          <w:rFonts w:hint="eastAsia" w:eastAsia="微软雅黑"/>
          <w:szCs w:val="20"/>
          <w:lang w:val="en-US"/>
        </w:rPr>
        <w:t xml:space="preserve"> Performance result</w:t>
      </w:r>
    </w:p>
    <w:p>
      <w:pPr>
        <w:snapToGrid w:val="0"/>
        <w:spacing w:after="120"/>
      </w:pPr>
      <w:r>
        <w:rPr>
          <w:lang w:val="en-GB"/>
        </w:rPr>
        <w:t xml:space="preserve">Then, in the multi-TRP case, </w:t>
      </w:r>
      <w:r>
        <w:rPr>
          <w:rFonts w:hint="eastAsia"/>
        </w:rPr>
        <w:t xml:space="preserve">we </w:t>
      </w:r>
      <w:r>
        <w:t>evaluate</w:t>
      </w:r>
      <w:r>
        <w:rPr>
          <w:rFonts w:hint="eastAsia"/>
        </w:rPr>
        <w:t xml:space="preserve"> LLS spectral efficiency</w:t>
      </w:r>
      <w:r>
        <w:t xml:space="preserve"> for the beam reporting of L1-RSRP, SINR without IMR, i.e., CMR-only based L1-SINR measurement, and SINR with IMR, i.e., CMR+IMR based L1-SINR measurement to emulate the potential interference beams, under group based approach.</w:t>
      </w:r>
      <w:r>
        <w:rPr>
          <w:rFonts w:hint="eastAsia"/>
        </w:rPr>
        <w:t xml:space="preserve"> </w:t>
      </w:r>
      <w:r>
        <w:t xml:space="preserve">The results are shown in Figure </w:t>
      </w:r>
      <w:r>
        <w:rPr>
          <w:rFonts w:hint="eastAsia"/>
        </w:rPr>
        <w:t>3</w:t>
      </w:r>
      <w:r>
        <w:t xml:space="preserve"> and Table </w:t>
      </w:r>
      <w:r>
        <w:rPr>
          <w:rFonts w:hint="eastAsia"/>
        </w:rPr>
        <w:t>2</w:t>
      </w:r>
      <w:r>
        <w:t>.</w:t>
      </w:r>
      <w:r>
        <w:rPr>
          <w:rFonts w:hint="eastAsia"/>
        </w:rPr>
        <w:t xml:space="preserve"> </w:t>
      </w:r>
      <w:r>
        <w:t>From the evaluation results, it is observed that</w:t>
      </w:r>
    </w:p>
    <w:p>
      <w:pPr>
        <w:numPr>
          <w:ilvl w:val="1"/>
          <w:numId w:val="15"/>
        </w:numPr>
        <w:autoSpaceDE w:val="0"/>
        <w:autoSpaceDN w:val="0"/>
        <w:adjustRightInd w:val="0"/>
        <w:snapToGrid w:val="0"/>
        <w:spacing w:after="100" w:afterLines="0" w:afterAutospacing="1" w:line="300" w:lineRule="auto"/>
        <w:ind w:left="1083" w:hanging="363"/>
        <w:rPr>
          <w:kern w:val="2"/>
          <w:lang w:val="en-GB"/>
        </w:rPr>
      </w:pPr>
      <w:r>
        <w:rPr>
          <w:lang w:val="en-GB"/>
        </w:rPr>
        <w:t>L1-SINR without IMR has some limited performance gains over legacy L1-RSRP (+2.54% in terms of average spectral efficiency). Different from the case of single TRP, independent Tx-Rx beam pair links can be found more easily. If the best Tx-Rx beam pair link in terms of L1-RSRP suffers strong interference by an interference beam. It is more often to be able to find an alternative independent beam pair link, and consequently the reporting of SINR can obtain certain performance gain over RSRP by using the beam which is not the best in terms of L1-RSRP, but it is the best in terms of SINR since it does not suffer some strong interferences.</w:t>
      </w:r>
    </w:p>
    <w:p>
      <w:pPr>
        <w:numPr>
          <w:ilvl w:val="1"/>
          <w:numId w:val="15"/>
        </w:numPr>
        <w:autoSpaceDE w:val="0"/>
        <w:autoSpaceDN w:val="0"/>
        <w:adjustRightInd w:val="0"/>
        <w:snapToGrid w:val="0"/>
        <w:spacing w:after="100" w:afterLines="0" w:afterAutospacing="1" w:line="300" w:lineRule="auto"/>
        <w:ind w:left="1083" w:hanging="363"/>
      </w:pPr>
      <w:r>
        <w:t xml:space="preserve">L1-SINR with IMR </w:t>
      </w:r>
      <w:r>
        <w:rPr>
          <w:lang w:val="en-GB"/>
        </w:rPr>
        <w:t>(through implying low-interference beams due to emulate interference) significantly</w:t>
      </w:r>
      <w:r>
        <w:t xml:space="preserve"> outperforms RSRP reporting, e.g., up to 24.23% gains of average spectral efficiency.</w:t>
      </w:r>
    </w:p>
    <w:p>
      <w:pPr>
        <w:spacing w:after="120"/>
        <w:jc w:val="center"/>
        <w:rPr>
          <w:highlight w:val="yellow"/>
        </w:rPr>
      </w:pPr>
      <w:r>
        <w:drawing>
          <wp:inline distT="0" distB="0" distL="114300" distR="114300">
            <wp:extent cx="4267200" cy="3201035"/>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4"/>
                    <a:stretch>
                      <a:fillRect/>
                    </a:stretch>
                  </pic:blipFill>
                  <pic:spPr>
                    <a:xfrm>
                      <a:off x="0" y="0"/>
                      <a:ext cx="4267200" cy="3201035"/>
                    </a:xfrm>
                    <a:prstGeom prst="rect">
                      <a:avLst/>
                    </a:prstGeom>
                    <a:noFill/>
                    <a:ln>
                      <a:noFill/>
                    </a:ln>
                  </pic:spPr>
                </pic:pic>
              </a:graphicData>
            </a:graphic>
          </wp:inline>
        </w:drawing>
      </w:r>
    </w:p>
    <w:p>
      <w:pPr>
        <w:spacing w:after="120"/>
        <w:jc w:val="center"/>
      </w:pPr>
      <w:r>
        <w:rPr>
          <w:b/>
        </w:rPr>
        <w:t xml:space="preserve">Figure </w:t>
      </w:r>
      <w:r>
        <w:rPr>
          <w:rFonts w:hint="eastAsia"/>
          <w:b/>
        </w:rPr>
        <w:t>3</w:t>
      </w:r>
      <w:r>
        <w:rPr>
          <w:b/>
        </w:rPr>
        <w:t xml:space="preserve"> </w:t>
      </w:r>
      <w:r>
        <w:t>CDF of spectral efficiency for L1-SINR and L1-RSRP reporting with/without IMR index(es) under group based approach</w:t>
      </w:r>
    </w:p>
    <w:p>
      <w:pPr>
        <w:spacing w:before="240" w:beforeLines="100" w:after="120"/>
        <w:jc w:val="center"/>
        <w:rPr>
          <w:lang w:val="en-GB"/>
        </w:rPr>
      </w:pPr>
      <w:r>
        <w:rPr>
          <w:b/>
        </w:rPr>
        <w:t xml:space="preserve">Table </w:t>
      </w:r>
      <w:r>
        <w:rPr>
          <w:rFonts w:hint="eastAsia"/>
          <w:b/>
        </w:rPr>
        <w:t>2</w:t>
      </w:r>
      <w:r>
        <w:rPr>
          <w:rFonts w:hint="eastAsia"/>
          <w:lang w:val="en-GB"/>
        </w:rPr>
        <w:tab/>
      </w:r>
      <w:r>
        <w:rPr>
          <w:lang w:val="en-GB"/>
        </w:rPr>
        <w:t>S</w:t>
      </w:r>
      <w:r>
        <w:rPr>
          <w:rFonts w:hint="eastAsia"/>
          <w:lang w:val="en-GB"/>
        </w:rPr>
        <w:t xml:space="preserve">pectral efficiency </w:t>
      </w:r>
      <w:r>
        <w:rPr>
          <w:lang w:val="en-GB"/>
        </w:rPr>
        <w:t>for L1-SINR and L1-RSRP reporting with group based approach</w:t>
      </w:r>
    </w:p>
    <w:tbl>
      <w:tblPr>
        <w:tblStyle w:val="25"/>
        <w:tblW w:w="93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7"/>
        <w:gridCol w:w="2411"/>
        <w:gridCol w:w="2874"/>
        <w:gridCol w:w="2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beforeLines="50" w:after="120"/>
              <w:jc w:val="center"/>
              <w:textAlignment w:val="center"/>
              <w:rPr>
                <w:lang w:val="en-GB"/>
              </w:rPr>
            </w:pPr>
          </w:p>
        </w:tc>
        <w:tc>
          <w:tcPr>
            <w:tcW w:w="2411" w:type="dxa"/>
          </w:tcPr>
          <w:p>
            <w:pPr>
              <w:spacing w:before="120" w:beforeLines="50" w:after="120"/>
              <w:jc w:val="center"/>
              <w:textAlignment w:val="center"/>
              <w:rPr>
                <w:lang w:val="en-GB"/>
              </w:rPr>
            </w:pPr>
            <w:r>
              <w:rPr>
                <w:lang w:val="en-GB"/>
              </w:rPr>
              <w:t>L1-RSRP</w:t>
            </w:r>
          </w:p>
        </w:tc>
        <w:tc>
          <w:tcPr>
            <w:tcW w:w="2874" w:type="dxa"/>
          </w:tcPr>
          <w:p>
            <w:pPr>
              <w:spacing w:before="120" w:beforeLines="50" w:after="120"/>
              <w:jc w:val="center"/>
              <w:textAlignment w:val="center"/>
              <w:rPr>
                <w:lang w:val="en-GB"/>
              </w:rPr>
            </w:pPr>
            <w:r>
              <w:rPr>
                <w:lang w:val="en-GB"/>
              </w:rPr>
              <w:t>L1-SINR without IMR</w:t>
            </w:r>
          </w:p>
        </w:tc>
        <w:tc>
          <w:tcPr>
            <w:tcW w:w="2634" w:type="dxa"/>
          </w:tcPr>
          <w:p>
            <w:pPr>
              <w:spacing w:before="120" w:beforeLines="50" w:after="120"/>
              <w:jc w:val="center"/>
              <w:textAlignment w:val="center"/>
              <w:rPr>
                <w:lang w:val="en-GB"/>
              </w:rPr>
            </w:pPr>
            <w:r>
              <w:rPr>
                <w:rFonts w:hint="eastAsia"/>
                <w:lang w:val="en-GB"/>
              </w:rPr>
              <w:t>L</w:t>
            </w:r>
            <w:r>
              <w:rPr>
                <w:lang w:val="en-GB"/>
              </w:rPr>
              <w:t>1-SINR with IMR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beforeLines="50" w:after="120"/>
              <w:jc w:val="center"/>
              <w:textAlignment w:val="center"/>
              <w:rPr>
                <w:lang w:val="en-GB"/>
              </w:rPr>
            </w:pPr>
            <w:r>
              <w:t>Average</w:t>
            </w:r>
          </w:p>
        </w:tc>
        <w:tc>
          <w:tcPr>
            <w:tcW w:w="2411" w:type="dxa"/>
          </w:tcPr>
          <w:p>
            <w:pPr>
              <w:spacing w:before="120" w:beforeLines="50" w:after="120"/>
              <w:jc w:val="center"/>
              <w:textAlignment w:val="center"/>
              <w:rPr>
                <w:lang w:val="en-GB"/>
              </w:rPr>
            </w:pPr>
            <w:r>
              <w:rPr>
                <w:lang w:val="en-GB"/>
              </w:rPr>
              <w:t>14.7094</w:t>
            </w:r>
          </w:p>
          <w:p>
            <w:pPr>
              <w:spacing w:before="120" w:beforeLines="50" w:after="120"/>
              <w:jc w:val="center"/>
              <w:textAlignment w:val="center"/>
              <w:rPr>
                <w:lang w:val="en-GB"/>
              </w:rPr>
            </w:pPr>
            <w:r>
              <w:rPr>
                <w:color w:val="000000"/>
                <w:lang w:val="en-GB"/>
              </w:rPr>
              <w:t>(</w:t>
            </w:r>
            <w:r>
              <w:rPr>
                <w:rFonts w:hint="eastAsia"/>
                <w:color w:val="000000"/>
                <w:lang w:val="en-GB"/>
              </w:rPr>
              <w:t>100</w:t>
            </w:r>
            <w:r>
              <w:rPr>
                <w:color w:val="000000"/>
                <w:lang w:val="en-GB"/>
              </w:rPr>
              <w:t>%)</w:t>
            </w:r>
          </w:p>
        </w:tc>
        <w:tc>
          <w:tcPr>
            <w:tcW w:w="2874" w:type="dxa"/>
          </w:tcPr>
          <w:p>
            <w:pPr>
              <w:spacing w:before="120" w:beforeLines="50" w:after="120"/>
              <w:jc w:val="center"/>
              <w:textAlignment w:val="center"/>
              <w:rPr>
                <w:lang w:val="en-GB"/>
              </w:rPr>
            </w:pPr>
            <w:r>
              <w:rPr>
                <w:lang w:val="en-GB"/>
              </w:rPr>
              <w:t>15.0825</w:t>
            </w:r>
          </w:p>
          <w:p>
            <w:pPr>
              <w:spacing w:before="120" w:beforeLines="50" w:after="120"/>
              <w:jc w:val="center"/>
              <w:textAlignment w:val="center"/>
              <w:rPr>
                <w:lang w:val="en-GB"/>
              </w:rPr>
            </w:pPr>
            <w:r>
              <w:rPr>
                <w:rFonts w:hint="eastAsia"/>
                <w:lang w:val="en-GB"/>
              </w:rPr>
              <w:t>(</w:t>
            </w:r>
            <w:r>
              <w:rPr>
                <w:rFonts w:hint="eastAsia"/>
                <w:color w:val="FF0000"/>
                <w:lang w:val="en-GB"/>
              </w:rPr>
              <w:t>+</w:t>
            </w:r>
            <w:r>
              <w:rPr>
                <w:color w:val="FF0000"/>
                <w:lang w:val="en-GB"/>
              </w:rPr>
              <w:t>2.54</w:t>
            </w:r>
            <w:r>
              <w:rPr>
                <w:rFonts w:hint="eastAsia"/>
                <w:color w:val="FF0000"/>
                <w:lang w:val="en-GB"/>
              </w:rPr>
              <w:t>%</w:t>
            </w:r>
            <w:r>
              <w:rPr>
                <w:color w:val="FF0000"/>
                <w:lang w:val="en-GB"/>
              </w:rPr>
              <w:t>↑</w:t>
            </w:r>
            <w:r>
              <w:rPr>
                <w:rFonts w:hint="eastAsia"/>
                <w:lang w:val="en-GB"/>
              </w:rPr>
              <w:t>)</w:t>
            </w:r>
          </w:p>
        </w:tc>
        <w:tc>
          <w:tcPr>
            <w:tcW w:w="2634" w:type="dxa"/>
          </w:tcPr>
          <w:p>
            <w:pPr>
              <w:spacing w:before="120" w:beforeLines="50" w:after="120"/>
              <w:jc w:val="center"/>
              <w:textAlignment w:val="center"/>
              <w:rPr>
                <w:lang w:val="en-GB"/>
              </w:rPr>
            </w:pPr>
            <w:r>
              <w:rPr>
                <w:lang w:val="en-GB"/>
              </w:rPr>
              <w:t>18.2731</w:t>
            </w:r>
          </w:p>
          <w:p>
            <w:pPr>
              <w:spacing w:before="120" w:beforeLines="50" w:after="120"/>
              <w:jc w:val="center"/>
              <w:textAlignment w:val="center"/>
              <w:rPr>
                <w:lang w:val="en-GB"/>
              </w:rPr>
            </w:pPr>
            <w:r>
              <w:rPr>
                <w:rFonts w:hint="eastAsia"/>
                <w:lang w:val="en-GB"/>
              </w:rPr>
              <w:t>(</w:t>
            </w:r>
            <w:r>
              <w:rPr>
                <w:rFonts w:hint="eastAsia"/>
                <w:color w:val="FF0000"/>
                <w:lang w:val="en-GB"/>
              </w:rPr>
              <w:t>+</w:t>
            </w:r>
            <w:r>
              <w:rPr>
                <w:color w:val="FF0000"/>
                <w:lang w:val="en-GB"/>
              </w:rPr>
              <w:t>24.23</w:t>
            </w:r>
            <w:r>
              <w:rPr>
                <w:rFonts w:hint="eastAsia"/>
                <w:color w:val="FF0000"/>
                <w:lang w:val="en-GB"/>
              </w:rPr>
              <w:t>%</w:t>
            </w:r>
            <w:r>
              <w:rPr>
                <w:color w:val="FF0000"/>
                <w:lang w:val="en-GB"/>
              </w:rPr>
              <w:t>↑</w:t>
            </w:r>
            <w:r>
              <w:rPr>
                <w:rFonts w:hint="eastAsia"/>
                <w:lang w:val="en-GB"/>
              </w:rPr>
              <w:t>)</w:t>
            </w:r>
          </w:p>
        </w:tc>
      </w:tr>
    </w:tbl>
    <w:p>
      <w:pPr>
        <w:spacing w:before="240" w:beforeLines="100" w:after="12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6"/>
        </w:numPr>
        <w:overflowPunct w:val="0"/>
        <w:autoSpaceDE w:val="0"/>
        <w:autoSpaceDN w:val="0"/>
        <w:adjustRightInd w:val="0"/>
        <w:spacing w:before="120" w:after="120" w:line="240" w:lineRule="auto"/>
        <w:textAlignment w:val="baseline"/>
      </w:pPr>
      <w:r>
        <w:rPr>
          <w:i/>
        </w:rPr>
        <w:t>Under the case without IMR, L1-SINR reporting can obtain limited performance gains over L1-RSRP.</w:t>
      </w:r>
    </w:p>
    <w:p>
      <w:pPr>
        <w:numPr>
          <w:ilvl w:val="0"/>
          <w:numId w:val="12"/>
        </w:numPr>
        <w:overflowPunct w:val="0"/>
        <w:autoSpaceDE w:val="0"/>
        <w:autoSpaceDN w:val="0"/>
        <w:adjustRightInd w:val="0"/>
        <w:spacing w:before="120" w:beforeLines="50" w:after="120" w:afterLines="0" w:line="300" w:lineRule="auto"/>
        <w:textAlignment w:val="baseline"/>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r>
        <w:rPr>
          <w:i/>
        </w:rPr>
        <w:t>.</w:t>
      </w:r>
    </w:p>
    <w:p>
      <w:pPr>
        <w:overflowPunct w:val="0"/>
        <w:autoSpaceDE w:val="0"/>
        <w:autoSpaceDN w:val="0"/>
        <w:adjustRightInd w:val="0"/>
        <w:spacing w:before="120" w:after="120"/>
        <w:textAlignment w:val="baseline"/>
        <w:rPr>
          <w:i/>
          <w:iCs/>
        </w:rPr>
      </w:pPr>
      <w:r>
        <w:rPr>
          <w:b/>
          <w:i/>
        </w:rPr>
        <w:t xml:space="preserve">Proposal </w:t>
      </w:r>
      <w:r>
        <w:rPr>
          <w:rFonts w:hint="eastAsia"/>
          <w:b/>
          <w:i/>
        </w:rPr>
        <w:t>5</w:t>
      </w:r>
      <w:r>
        <w:rPr>
          <w:b/>
          <w:i/>
        </w:rPr>
        <w:t>:</w:t>
      </w:r>
      <w:r>
        <w:rPr>
          <w:i/>
        </w:rPr>
        <w:t xml:space="preserve"> </w:t>
      </w:r>
      <w:r>
        <w:rPr>
          <w:rFonts w:hint="eastAsia"/>
          <w:i/>
          <w:iCs/>
        </w:rPr>
        <w:t>For facilitating inter-beam interference measurement, L1-SINR reporting should be supported.</w:t>
      </w:r>
    </w:p>
    <w:p>
      <w:pPr>
        <w:numPr>
          <w:ilvl w:val="0"/>
          <w:numId w:val="17"/>
        </w:numPr>
        <w:spacing w:before="120" w:after="120"/>
        <w:rPr>
          <w:i/>
          <w:iCs/>
        </w:rPr>
      </w:pPr>
      <w:r>
        <w:rPr>
          <w:rFonts w:hint="eastAsia"/>
          <w:i/>
          <w:iCs/>
        </w:rPr>
        <w:t xml:space="preserve"> The definition of L1-SINR should be enhanced, considering interference among CMR(s) to be reported.</w:t>
      </w:r>
    </w:p>
    <w:p>
      <w:pPr>
        <w:numPr>
          <w:ilvl w:val="0"/>
          <w:numId w:val="17"/>
        </w:numPr>
        <w:spacing w:before="120" w:after="120"/>
        <w:rPr>
          <w:i/>
          <w:iCs/>
        </w:rPr>
      </w:pPr>
      <w:r>
        <w:rPr>
          <w:rFonts w:hint="eastAsia"/>
          <w:i/>
          <w:iCs/>
        </w:rPr>
        <w:t>The association among CMRs from different TRPs (or called as candidate CMR pairs) should be supported.</w:t>
      </w:r>
    </w:p>
    <w:p>
      <w:pPr>
        <w:numPr>
          <w:ilvl w:val="1"/>
          <w:numId w:val="17"/>
        </w:numPr>
        <w:spacing w:before="120" w:after="120"/>
      </w:pPr>
      <w:r>
        <w:rPr>
          <w:rFonts w:hint="eastAsia"/>
          <w:i/>
        </w:rPr>
        <w:t>Analogous to Rel-16, CMR+ZP-IMR and CMR+NZP-IMR can be supported besides CMR only</w:t>
      </w:r>
    </w:p>
    <w:p>
      <w:pPr>
        <w:pStyle w:val="2"/>
        <w:spacing w:before="240" w:after="120"/>
        <w:rPr>
          <w:lang w:val="en-US"/>
        </w:rPr>
      </w:pPr>
      <w:r>
        <w:rPr>
          <w:lang w:val="en-US"/>
        </w:rPr>
        <w:t>UE initialized TRP switching for multi-TRP operation</w:t>
      </w:r>
    </w:p>
    <w:p>
      <w:pPr>
        <w:spacing w:after="120"/>
      </w:pPr>
      <w:r>
        <w:rPr>
          <w:rFonts w:hint="eastAsia"/>
        </w:rPr>
        <w:t xml:space="preserve">The movement and rotation of the UE will cause continuous changes in the channel quality between the gNodeB and the UE. Especially in the high-speed train scenario, the channel quality </w:t>
      </w:r>
      <w:r>
        <w:t xml:space="preserve">may be poor </w:t>
      </w:r>
      <w:r>
        <w:rPr>
          <w:rFonts w:hint="eastAsia"/>
        </w:rPr>
        <w:t xml:space="preserve">in some cases. In these cases, a better TRP or </w:t>
      </w:r>
      <w:r>
        <w:t>m</w:t>
      </w:r>
      <w:r>
        <w:rPr>
          <w:rFonts w:hint="eastAsia"/>
        </w:rPr>
        <w:t>ulti-TRP</w:t>
      </w:r>
      <w:r>
        <w:t xml:space="preserve"> group</w:t>
      </w:r>
      <w:r>
        <w:rPr>
          <w:rFonts w:hint="eastAsia"/>
        </w:rPr>
        <w:t xml:space="preserve"> should be selected for transmission to enhance communication reliability. At present, the transmission selection of Single-TRP or Multi-TRP is usually indicated by the gNodeB. However, if the backhaul between TRPs is not ideal, </w:t>
      </w:r>
      <w:r>
        <w:t xml:space="preserve">a large latency between TRPs may be experience and so </w:t>
      </w:r>
      <w:r>
        <w:rPr>
          <w:rFonts w:hint="eastAsia"/>
        </w:rPr>
        <w:t xml:space="preserve">the </w:t>
      </w:r>
      <w:r>
        <w:t>serving</w:t>
      </w:r>
      <w:r>
        <w:rPr>
          <w:rFonts w:hint="eastAsia"/>
        </w:rPr>
        <w:t xml:space="preserve"> TRP can</w:t>
      </w:r>
      <w:r>
        <w:t xml:space="preserve"> NOT</w:t>
      </w:r>
      <w:r>
        <w:rPr>
          <w:rFonts w:hint="eastAsia"/>
        </w:rPr>
        <w:t xml:space="preserve"> obtain the channel quality of other TRP</w:t>
      </w:r>
      <w:r>
        <w:t>(</w:t>
      </w:r>
      <w:r>
        <w:rPr>
          <w:rFonts w:hint="eastAsia"/>
        </w:rPr>
        <w:t>s</w:t>
      </w:r>
      <w:r>
        <w:t>)</w:t>
      </w:r>
      <w:r>
        <w:rPr>
          <w:rFonts w:hint="eastAsia"/>
        </w:rPr>
        <w:t xml:space="preserve"> </w:t>
      </w:r>
      <w:r>
        <w:t>in time</w:t>
      </w:r>
      <w:r>
        <w:rPr>
          <w:rFonts w:hint="eastAsia"/>
        </w:rPr>
        <w:t>. Therefore, if the quality of other TRP</w:t>
      </w:r>
      <w:r>
        <w:t>(</w:t>
      </w:r>
      <w:r>
        <w:rPr>
          <w:rFonts w:hint="eastAsia"/>
        </w:rPr>
        <w:t>s</w:t>
      </w:r>
      <w:r>
        <w:t>)</w:t>
      </w:r>
      <w:r>
        <w:rPr>
          <w:rFonts w:hint="eastAsia"/>
        </w:rPr>
        <w:t xml:space="preserve"> is better, the handover can</w:t>
      </w:r>
      <w:r>
        <w:t xml:space="preserve"> NOT</w:t>
      </w:r>
      <w:r>
        <w:rPr>
          <w:rFonts w:hint="eastAsia"/>
        </w:rPr>
        <w:t xml:space="preserve"> be performed in time.</w:t>
      </w:r>
    </w:p>
    <w:p>
      <w:pPr>
        <w:spacing w:after="120"/>
      </w:pPr>
      <w:r>
        <w:rPr>
          <w:rFonts w:hint="eastAsia"/>
        </w:rPr>
        <w:t xml:space="preserve">In the high-speed train (HST) scenario, when a UE moves away from the connected TRP, the increase of path loss and beam changes </w:t>
      </w:r>
      <w:r>
        <w:t>may</w:t>
      </w:r>
      <w:r>
        <w:rPr>
          <w:rFonts w:hint="eastAsia"/>
        </w:rPr>
        <w:t xml:space="preserve"> affect the channel quality between the TRP and the UE. Figure 4 shows the channel quality changes with UE movement. Here, RSRP (Reference Signal Receiving Power) is used as the channel quality evaluation indicator. </w:t>
      </w:r>
    </w:p>
    <w:p>
      <w:pPr>
        <w:spacing w:before="120" w:after="120"/>
        <w:jc w:val="center"/>
      </w:pPr>
      <w:r>
        <w:drawing>
          <wp:inline distT="0" distB="0" distL="114300" distR="114300">
            <wp:extent cx="5206365" cy="2163445"/>
            <wp:effectExtent l="0" t="0" r="133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r="1573"/>
                    <a:stretch>
                      <a:fillRect/>
                    </a:stretch>
                  </pic:blipFill>
                  <pic:spPr>
                    <a:xfrm>
                      <a:off x="0" y="0"/>
                      <a:ext cx="5206365" cy="2163445"/>
                    </a:xfrm>
                    <a:prstGeom prst="rect">
                      <a:avLst/>
                    </a:prstGeom>
                    <a:noFill/>
                    <a:ln>
                      <a:noFill/>
                    </a:ln>
                  </pic:spPr>
                </pic:pic>
              </a:graphicData>
            </a:graphic>
          </wp:inline>
        </w:drawing>
      </w:r>
    </w:p>
    <w:p>
      <w:pPr>
        <w:spacing w:before="120" w:after="120"/>
        <w:jc w:val="center"/>
        <w:rPr>
          <w:b/>
        </w:rPr>
      </w:pPr>
      <w:r>
        <w:rPr>
          <w:rFonts w:hint="eastAsia"/>
          <w:b/>
        </w:rPr>
        <w:t xml:space="preserve">Figure 4 </w:t>
      </w:r>
      <w:r>
        <w:rPr>
          <w:rFonts w:hint="eastAsia"/>
          <w:bCs/>
        </w:rPr>
        <w:t>Channel quality in the high-speed train scenario</w:t>
      </w:r>
    </w:p>
    <w:p>
      <w:pPr>
        <w:spacing w:after="120"/>
      </w:pPr>
      <w:r>
        <w:rPr>
          <w:rFonts w:hint="eastAsia"/>
        </w:rPr>
        <w:t xml:space="preserve">As shown in Figure </w:t>
      </w:r>
      <w:r>
        <w:t>4</w:t>
      </w:r>
      <w:r>
        <w:rPr>
          <w:rFonts w:hint="eastAsia"/>
        </w:rPr>
        <w:t xml:space="preserve">, the RSRP curves of the TRP1 </w:t>
      </w:r>
      <w:r>
        <w:t xml:space="preserve">and TRP2 </w:t>
      </w:r>
      <w:r>
        <w:rPr>
          <w:rFonts w:hint="eastAsia"/>
        </w:rPr>
        <w:t>are dotted</w:t>
      </w:r>
      <w:r>
        <w:t xml:space="preserve"> and solid, respectively</w:t>
      </w:r>
      <w:r>
        <w:rPr>
          <w:rFonts w:hint="eastAsia"/>
        </w:rPr>
        <w:t>.</w:t>
      </w:r>
      <w:r>
        <w:t xml:space="preserve"> </w:t>
      </w:r>
      <w:r>
        <w:rPr>
          <w:rFonts w:hint="eastAsia"/>
        </w:rPr>
        <w:t>When the UE is at point A, it has established a connection with the TRP1. Then</w:t>
      </w:r>
      <w:r>
        <w:t>, when</w:t>
      </w:r>
      <w:r>
        <w:rPr>
          <w:rFonts w:hint="eastAsia"/>
        </w:rPr>
        <w:t xml:space="preserve"> the UE </w:t>
      </w:r>
      <w:r>
        <w:t>moves</w:t>
      </w:r>
      <w:r>
        <w:rPr>
          <w:rFonts w:hint="eastAsia"/>
        </w:rPr>
        <w:t xml:space="preserve"> from point A to point B or C, the RSRP of TRP1 increases gradually at the beginning. After the UE continues to move, the UE gradually keeps away from the TRP1, </w:t>
      </w:r>
      <w:r>
        <w:t xml:space="preserve">and </w:t>
      </w:r>
      <w:r>
        <w:rPr>
          <w:rFonts w:hint="eastAsia"/>
        </w:rPr>
        <w:t xml:space="preserve">the RSRP of TRP1 starts to decrease gradually. Conversely, as the UE approaches TRP2, the corresponding RSRP increases gradually. Therefore, to ensure the </w:t>
      </w:r>
      <w:r>
        <w:t>transmission performance</w:t>
      </w:r>
      <w:r>
        <w:rPr>
          <w:rFonts w:hint="eastAsia"/>
        </w:rPr>
        <w:t>, the UE needs to report a TRP handover mode from the following options.</w:t>
      </w:r>
    </w:p>
    <w:p>
      <w:pPr>
        <w:numPr>
          <w:ilvl w:val="0"/>
          <w:numId w:val="16"/>
        </w:numPr>
        <w:spacing w:after="120"/>
      </w:pPr>
      <w:r>
        <w:t>Mode 1: switch from current TRP to another TRP with better channel quality.</w:t>
      </w:r>
    </w:p>
    <w:p>
      <w:pPr>
        <w:numPr>
          <w:ilvl w:val="0"/>
          <w:numId w:val="16"/>
        </w:numPr>
        <w:spacing w:after="120"/>
      </w:pPr>
      <w:r>
        <w:rPr>
          <w:rFonts w:hint="eastAsia"/>
          <w:lang w:val="en-GB"/>
        </w:rPr>
        <w:t xml:space="preserve">Mode 2: switch from </w:t>
      </w:r>
      <w:r>
        <w:t>current TRP</w:t>
      </w:r>
      <w:r>
        <w:rPr>
          <w:rFonts w:hint="eastAsia"/>
          <w:lang w:val="en-GB"/>
        </w:rPr>
        <w:t xml:space="preserve"> to multi-TRP</w:t>
      </w:r>
      <w:r>
        <w:rPr>
          <w:rFonts w:hint="eastAsia"/>
        </w:rPr>
        <w:t xml:space="preserve"> </w:t>
      </w:r>
      <w:r>
        <w:t>with better channel quality</w:t>
      </w:r>
      <w:r>
        <w:rPr>
          <w:rFonts w:hint="eastAsia"/>
          <w:lang w:val="en-GB"/>
        </w:rPr>
        <w:t>.</w:t>
      </w:r>
    </w:p>
    <w:p>
      <w:pPr>
        <w:spacing w:after="120"/>
      </w:pPr>
      <w:r>
        <w:rPr>
          <w:rFonts w:hint="eastAsia"/>
        </w:rPr>
        <w:t>According to the above description, multi-TRP transmission may be configured for UE, but the following situation may occur during the UE movement: When a UE moves away from one TRP and approaches another TRP at the same time, the RSRP of one TRP will be obviously better than that of the other TRP. In this case, the transmission of multi-TRP cannot provide obvious transmission reliability, compared with the transmission of single-TRP with better channel quality. Therefore, the UE needs to report a TRP handover mode as the following option.</w:t>
      </w:r>
    </w:p>
    <w:p>
      <w:pPr>
        <w:numPr>
          <w:ilvl w:val="0"/>
          <w:numId w:val="16"/>
        </w:numPr>
        <w:spacing w:after="120"/>
      </w:pPr>
      <w:r>
        <w:rPr>
          <w:rFonts w:hint="eastAsia"/>
          <w:lang w:val="en-GB"/>
        </w:rPr>
        <w:t xml:space="preserve">Mode </w:t>
      </w:r>
      <w:r>
        <w:rPr>
          <w:rFonts w:hint="eastAsia"/>
        </w:rPr>
        <w:t>3</w:t>
      </w:r>
      <w:r>
        <w:rPr>
          <w:rFonts w:hint="eastAsia"/>
          <w:lang w:val="en-GB"/>
        </w:rPr>
        <w:t xml:space="preserve">: switch from </w:t>
      </w:r>
      <w:r>
        <w:t xml:space="preserve">current </w:t>
      </w:r>
      <w:r>
        <w:rPr>
          <w:rFonts w:hint="eastAsia"/>
        </w:rPr>
        <w:t>multi-</w:t>
      </w:r>
      <w:r>
        <w:t>TRP</w:t>
      </w:r>
      <w:r>
        <w:rPr>
          <w:rFonts w:hint="eastAsia"/>
          <w:lang w:val="en-GB"/>
        </w:rPr>
        <w:t xml:space="preserve"> to </w:t>
      </w:r>
      <w:r>
        <w:rPr>
          <w:rFonts w:hint="eastAsia"/>
        </w:rPr>
        <w:t>single</w:t>
      </w:r>
      <w:r>
        <w:rPr>
          <w:rFonts w:hint="eastAsia"/>
          <w:lang w:val="en-GB"/>
        </w:rPr>
        <w:t>-TRP</w:t>
      </w:r>
      <w:r>
        <w:rPr>
          <w:rFonts w:hint="eastAsia"/>
        </w:rPr>
        <w:t xml:space="preserve"> </w:t>
      </w:r>
      <w:r>
        <w:t>with better channel quality</w:t>
      </w:r>
      <w:r>
        <w:rPr>
          <w:rFonts w:hint="eastAsia"/>
          <w:lang w:val="en-GB"/>
        </w:rPr>
        <w:t>.</w:t>
      </w:r>
    </w:p>
    <w:p>
      <w:pPr>
        <w:spacing w:after="120"/>
      </w:pPr>
      <w:r>
        <w:rPr>
          <w:rFonts w:hint="eastAsia"/>
        </w:rPr>
        <w:t>As shown in Figure 4, when the UE moves from point B to point C, the RSRP measurement value of TRP1 re</w:t>
      </w:r>
      <w:r>
        <w:t xml:space="preserve">duces </w:t>
      </w:r>
      <w:r>
        <w:rPr>
          <w:rFonts w:hint="eastAsia"/>
        </w:rPr>
        <w:t xml:space="preserve">gradually, and the RSRP measurement value of TRP2 </w:t>
      </w:r>
      <w:r>
        <w:t>increases</w:t>
      </w:r>
      <w:r>
        <w:rPr>
          <w:rFonts w:hint="eastAsia"/>
        </w:rPr>
        <w:t xml:space="preserve"> gradually. At this time, the difference between them </w:t>
      </w:r>
      <w:r>
        <w:t>increases</w:t>
      </w:r>
      <w:r>
        <w:rPr>
          <w:rFonts w:hint="eastAsia"/>
        </w:rPr>
        <w:t xml:space="preserve"> gradually</w:t>
      </w:r>
      <w:r>
        <w:t>,</w:t>
      </w:r>
      <w:r>
        <w:rPr>
          <w:rFonts w:hint="eastAsia"/>
        </w:rPr>
        <w:t xml:space="preserve"> and the communication with the UE can be completed through the TRP2 only. The UE can report to the gNodeB and recommend single-TRP transmission of the TRP2 (Mode 3) to reduce unnecessary overhead.</w:t>
      </w:r>
    </w:p>
    <w:p>
      <w:pPr>
        <w:spacing w:after="0" w:afterLines="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6:</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2"/>
        <w:spacing w:before="240" w:after="120"/>
        <w:rPr>
          <w:lang w:val="en-US"/>
        </w:rPr>
      </w:pPr>
      <w:r>
        <w:rPr>
          <w:rFonts w:hint="eastAsia"/>
          <w:lang w:val="en-US"/>
        </w:rPr>
        <w:t xml:space="preserve">Further details on L1/L2-centric </w:t>
      </w:r>
      <w:r>
        <w:rPr>
          <w:lang w:val="en-US"/>
        </w:rPr>
        <w:t>inter</w:t>
      </w:r>
      <w:r>
        <w:rPr>
          <w:rFonts w:hint="eastAsia"/>
          <w:lang w:val="en-US"/>
        </w:rPr>
        <w:t>-cell beam management</w:t>
      </w:r>
    </w:p>
    <w:p>
      <w:pPr>
        <w:pStyle w:val="119"/>
        <w:numPr>
          <w:ilvl w:val="255"/>
          <w:numId w:val="0"/>
        </w:numPr>
        <w:snapToGrid w:val="0"/>
        <w:spacing w:before="120" w:after="120" w:line="300" w:lineRule="auto"/>
      </w:pPr>
      <w:r>
        <w:rPr>
          <w:rFonts w:hint="eastAsia"/>
        </w:rPr>
        <w:t>NW initiated L1/L2 reporting of neighboring cell has been agreed. Besides NW initiated L1/L2 reporting of neighboring cell, the UE initiated L1/L2 reporting</w:t>
      </w:r>
      <w:r>
        <w:t xml:space="preserve"> </w:t>
      </w:r>
      <w:r>
        <w:rPr>
          <w:rFonts w:hint="eastAsia"/>
        </w:rPr>
        <w:t>should also be supported. The</w:t>
      </w:r>
      <w:r>
        <w:t xml:space="preserve"> L1 reporting</w:t>
      </w:r>
      <w:r>
        <w:rPr>
          <w:rFonts w:hint="eastAsia"/>
        </w:rPr>
        <w:t xml:space="preserve"> of neighboring cell can be</w:t>
      </w:r>
      <w:r>
        <w:t xml:space="preserve"> based on SSB/CSI-RS for mobility</w:t>
      </w:r>
      <w:r>
        <w:rPr>
          <w:rFonts w:hint="eastAsia"/>
        </w:rPr>
        <w:t xml:space="preserve"> or SSB/CSI-RS from the neighboring cell</w:t>
      </w:r>
      <w:r>
        <w:t>.</w:t>
      </w:r>
      <w:r>
        <w:rPr>
          <w:rFonts w:hint="eastAsia"/>
        </w:rPr>
        <w:t xml:space="preserve"> Further, it should be considered how the UE know</w:t>
      </w:r>
      <w:r>
        <w:t>s</w:t>
      </w:r>
      <w:r>
        <w:rPr>
          <w:rFonts w:hint="eastAsia"/>
        </w:rPr>
        <w:t xml:space="preserve"> which L1 reporting of the neighboring cell should be reported. There are the following candidate methods.</w:t>
      </w:r>
    </w:p>
    <w:p>
      <w:pPr>
        <w:pStyle w:val="119"/>
        <w:numPr>
          <w:ilvl w:val="0"/>
          <w:numId w:val="19"/>
        </w:numPr>
        <w:tabs>
          <w:tab w:val="left" w:pos="400"/>
        </w:tabs>
        <w:snapToGrid w:val="0"/>
        <w:spacing w:before="120" w:after="120" w:line="300" w:lineRule="auto"/>
        <w:ind w:left="1200" w:hanging="1200" w:firstLineChars="0"/>
        <w:rPr>
          <w:sz w:val="21"/>
          <w:szCs w:val="22"/>
        </w:rPr>
      </w:pPr>
      <w:r>
        <w:rPr>
          <w:rFonts w:hint="eastAsia"/>
        </w:rPr>
        <w:t xml:space="preserve">NW initialed reporting by RRC: The gNB configures the UE with a list of candidate neighboring cell for an L1 reporting by RRC. The gNB gets the </w:t>
      </w:r>
      <w:r>
        <w:t xml:space="preserve">information of </w:t>
      </w:r>
      <w:r>
        <w:rPr>
          <w:rFonts w:hint="eastAsia"/>
        </w:rPr>
        <w:t>neighboring cell</w:t>
      </w:r>
      <w:r>
        <w:t>(s)</w:t>
      </w:r>
      <w:r>
        <w:rPr>
          <w:rFonts w:hint="eastAsia"/>
        </w:rPr>
        <w:t xml:space="preserve"> according to the location of the UE. The number of the neighboring cell</w:t>
      </w:r>
      <w:r>
        <w:t>(s)</w:t>
      </w:r>
      <w:r>
        <w:rPr>
          <w:rFonts w:hint="eastAsia"/>
        </w:rPr>
        <w:t xml:space="preserve"> may be large, the UE performs L1 measure for all the candidate neighboring cells to select some good cells. The complexity of UE is too high.. It is inefficient and </w:t>
      </w:r>
      <w:r>
        <w:rPr>
          <w:rFonts w:hint="eastAsia"/>
          <w:sz w:val="21"/>
          <w:szCs w:val="22"/>
        </w:rPr>
        <w:t xml:space="preserve">unnecessary. </w:t>
      </w:r>
    </w:p>
    <w:p>
      <w:pPr>
        <w:pStyle w:val="119"/>
        <w:numPr>
          <w:ilvl w:val="0"/>
          <w:numId w:val="19"/>
        </w:numPr>
        <w:tabs>
          <w:tab w:val="left" w:pos="400"/>
        </w:tabs>
        <w:snapToGrid w:val="0"/>
        <w:spacing w:before="120" w:after="120" w:line="300" w:lineRule="auto"/>
        <w:ind w:left="1200" w:hanging="1200" w:firstLineChars="0"/>
      </w:pPr>
      <w:r>
        <w:rPr>
          <w:rFonts w:hint="eastAsia"/>
        </w:rPr>
        <w:t xml:space="preserve">NW initialed reporting by MAC-CE: The gNB configures UE with a list of candidate neighboring cell for L1 reporting by MAC-CE after the gNB receives an L3 mobility reporting which includes a few of selected neighboring cells. It can reduce the overhead of RRC and reduce the power of UE as the UE </w:t>
      </w:r>
      <w:r>
        <w:t>only need to</w:t>
      </w:r>
      <w:r>
        <w:rPr>
          <w:rFonts w:hint="eastAsia"/>
        </w:rPr>
        <w:t xml:space="preserve"> </w:t>
      </w:r>
      <w:r>
        <w:t xml:space="preserve">perform </w:t>
      </w:r>
      <w:r>
        <w:rPr>
          <w:rFonts w:hint="eastAsia"/>
        </w:rPr>
        <w:t xml:space="preserve">L1 measurement and L1 reporting for a few </w:t>
      </w:r>
      <w:r>
        <w:t xml:space="preserve">of </w:t>
      </w:r>
      <w:r>
        <w:rPr>
          <w:rFonts w:hint="eastAsia"/>
        </w:rPr>
        <w:t xml:space="preserve">selected neighboring cells. </w:t>
      </w:r>
    </w:p>
    <w:p>
      <w:pPr>
        <w:pStyle w:val="119"/>
        <w:numPr>
          <w:ilvl w:val="0"/>
          <w:numId w:val="19"/>
        </w:numPr>
        <w:tabs>
          <w:tab w:val="left" w:pos="400"/>
        </w:tabs>
        <w:snapToGrid w:val="0"/>
        <w:spacing w:before="120" w:after="120" w:line="300" w:lineRule="auto"/>
        <w:ind w:left="1200" w:hanging="1200" w:firstLineChars="0"/>
      </w:pPr>
      <w:r>
        <w:rPr>
          <w:rFonts w:hint="eastAsia"/>
        </w:rPr>
        <w:t>UE initialed reporting: The UE automatically initiates an L1 reporting for a neighboring cell which is selected by an L3 mobility measurement as shown in Figure 5. The L3 mobility measurement is used to monitor the quality of serving cell and select neighboring cell</w:t>
      </w:r>
      <w:r>
        <w:t>(s)</w:t>
      </w:r>
      <w:r>
        <w:rPr>
          <w:rFonts w:hint="eastAsia"/>
        </w:rPr>
        <w:t xml:space="preserve"> once the L3 mobility event occurs. The UE can automatically initiate an L1 reporting for a neighboring cell when the condition of L3 mobility measurements event is satisfied. The UE can report the L3 reporting or not report the L3 reporting while the UE reports the L1 reporting for the selected neighboring cells. In addition, since the neighboring cell is selected by the L3 mobility measurement, it</w:t>
      </w:r>
      <w:r>
        <w:t xml:space="preserve"> can </w:t>
      </w:r>
      <w:r>
        <w:rPr>
          <w:rFonts w:hint="eastAsia"/>
        </w:rPr>
        <w:t>avoid the ping-pang effect of selecting neighboring cell. The UE reports an L1 reporting for a neighboring cell in time and on demand.</w:t>
      </w:r>
    </w:p>
    <w:p>
      <w:pPr>
        <w:pStyle w:val="119"/>
        <w:numPr>
          <w:ilvl w:val="255"/>
          <w:numId w:val="0"/>
        </w:numPr>
        <w:snapToGrid w:val="0"/>
        <w:spacing w:before="120" w:after="120" w:line="300" w:lineRule="auto"/>
        <w:ind w:left="1200" w:hanging="1200" w:hangingChars="600"/>
        <w:jc w:val="center"/>
      </w:pPr>
      <w:r>
        <w:object>
          <v:shape id="_x0000_i1027" o:spt="75" type="#_x0000_t75" style="height:90.5pt;width:414.5pt;" o:ole="t" filled="f" o:preferrelative="t" stroked="f" coordsize="21600,21600">
            <v:path/>
            <v:fill on="f" focussize="0,0"/>
            <v:stroke on="f" joinstyle="miter"/>
            <v:imagedata r:id="rId17" o:title=""/>
            <o:lock v:ext="edit" aspectratio="t"/>
            <w10:wrap type="none"/>
            <w10:anchorlock/>
          </v:shape>
          <o:OLEObject Type="Embed" ProgID="Visio.Drawing.11" ShapeID="_x0000_i1027" DrawAspect="Content" ObjectID="_1468075727" r:id="rId16">
            <o:LockedField>false</o:LockedField>
          </o:OLEObject>
        </w:object>
      </w:r>
    </w:p>
    <w:p>
      <w:pPr>
        <w:numPr>
          <w:ilvl w:val="255"/>
          <w:numId w:val="0"/>
        </w:numPr>
        <w:overflowPunct w:val="0"/>
        <w:autoSpaceDE w:val="0"/>
        <w:autoSpaceDN w:val="0"/>
        <w:adjustRightInd w:val="0"/>
        <w:snapToGrid w:val="0"/>
        <w:spacing w:before="120" w:beforeLines="50" w:after="120" w:line="300" w:lineRule="auto"/>
        <w:jc w:val="center"/>
        <w:textAlignment w:val="baseline"/>
        <w:rPr>
          <w:bCs/>
        </w:rPr>
      </w:pPr>
      <w:r>
        <w:rPr>
          <w:b/>
        </w:rPr>
        <w:t xml:space="preserve">Figure </w:t>
      </w:r>
      <w:r>
        <w:rPr>
          <w:rFonts w:hint="eastAsia"/>
          <w:b/>
        </w:rPr>
        <w:t>5</w:t>
      </w:r>
      <w:r>
        <w:rPr>
          <w:bCs/>
        </w:rPr>
        <w:t xml:space="preserve"> </w:t>
      </w:r>
      <w:r>
        <w:rPr>
          <w:rFonts w:eastAsia="t"/>
          <w:bCs/>
        </w:rPr>
        <w:t>UE initia</w:t>
      </w:r>
      <w:r>
        <w:rPr>
          <w:bCs/>
        </w:rPr>
        <w:t>te</w:t>
      </w:r>
      <w:r>
        <w:rPr>
          <w:rFonts w:eastAsia="t"/>
          <w:bCs/>
        </w:rPr>
        <w:t>s a</w:t>
      </w:r>
      <w:r>
        <w:rPr>
          <w:bCs/>
        </w:rPr>
        <w:t>n</w:t>
      </w:r>
      <w:r>
        <w:rPr>
          <w:rFonts w:eastAsia="t"/>
          <w:bCs/>
        </w:rPr>
        <w:t xml:space="preserve"> L1 reporting for a neighboring cell if an L3 mobility measurement event </w:t>
      </w:r>
      <w:r>
        <w:rPr>
          <w:bCs/>
        </w:rPr>
        <w:t>occurs</w:t>
      </w:r>
    </w:p>
    <w:p>
      <w:pPr>
        <w:pStyle w:val="119"/>
        <w:numPr>
          <w:ilvl w:val="255"/>
          <w:numId w:val="0"/>
        </w:numPr>
        <w:snapToGrid w:val="0"/>
        <w:spacing w:before="120" w:after="120" w:line="300" w:lineRule="auto"/>
      </w:pPr>
      <w:r>
        <w:rPr>
          <w:rFonts w:hint="eastAsia"/>
        </w:rPr>
        <w:t xml:space="preserve">For NW initialed L1/L2 reporting for neighboring cell, we prefer to adopt NW initialed L1/L2 reporting by MAC-CE instead of by RRC to reduce the latency and overhead of signaling. Compared with NW initialed L1/L2 reporting, the latency of UE initialed L1/L2 reporting can be smaller because the UE can initiate the L1 reporting for a neighboring cell without waiting for the signaling from gNB. </w:t>
      </w:r>
    </w:p>
    <w:p>
      <w:pPr>
        <w:pStyle w:val="119"/>
        <w:snapToGrid w:val="0"/>
        <w:spacing w:before="60" w:beforeLines="25" w:after="60" w:afterLines="25" w:line="300" w:lineRule="auto"/>
        <w:ind w:firstLine="0" w:firstLineChars="0"/>
        <w:rPr>
          <w:i/>
        </w:rPr>
      </w:pPr>
      <w:r>
        <w:rPr>
          <w:rFonts w:hint="eastAsia"/>
          <w:b/>
          <w:bCs/>
          <w:i/>
          <w:iCs/>
        </w:rPr>
        <w:t xml:space="preserve">Proposal 7: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8: </w:t>
      </w:r>
      <w:r>
        <w:rPr>
          <w:rFonts w:hint="eastAsia"/>
          <w:i/>
        </w:rPr>
        <w:t>gNB configures neighboring cell information for a</w:t>
      </w:r>
      <w:r>
        <w:rPr>
          <w:i/>
        </w:rPr>
        <w:t>n</w:t>
      </w:r>
      <w:r>
        <w:rPr>
          <w:rFonts w:hint="eastAsia"/>
          <w:i/>
        </w:rPr>
        <w:t xml:space="preserve"> L1 reporting using MAC-CE.</w:t>
      </w:r>
    </w:p>
    <w:p>
      <w:pPr>
        <w:pStyle w:val="119"/>
        <w:snapToGrid w:val="0"/>
        <w:spacing w:before="60" w:beforeLines="25" w:after="60" w:afterLines="25" w:line="300" w:lineRule="auto"/>
        <w:ind w:firstLine="0" w:firstLineChars="0"/>
        <w:rPr>
          <w:sz w:val="21"/>
        </w:rPr>
      </w:pPr>
      <w:r>
        <w:rPr>
          <w:sz w:val="21"/>
        </w:rPr>
        <w:t>When the UE reports a new neighboring cell in</w:t>
      </w:r>
      <w:r>
        <w:rPr>
          <w:rFonts w:hint="eastAsia"/>
          <w:sz w:val="21"/>
        </w:rPr>
        <w:t xml:space="preserve"> a</w:t>
      </w:r>
      <w:r>
        <w:rPr>
          <w:sz w:val="21"/>
        </w:rPr>
        <w:t xml:space="preserve"> L1 reporting,</w:t>
      </w:r>
      <w:r>
        <w:rPr>
          <w:rFonts w:hint="eastAsia"/>
          <w:sz w:val="21"/>
        </w:rPr>
        <w:t xml:space="preserve"> the serving cell trigger the UE to transmits a RACH to the neighboring cell by a DCI. So the DCI should </w:t>
      </w:r>
      <w:r>
        <w:rPr>
          <w:sz w:val="21"/>
        </w:rPr>
        <w:t xml:space="preserve">contain  </w:t>
      </w:r>
      <w:r>
        <w:rPr>
          <w:rFonts w:hint="eastAsia"/>
          <w:sz w:val="21"/>
        </w:rPr>
        <w:t>PCI information of the triggered PRACH</w:t>
      </w:r>
      <w:r>
        <w:rPr>
          <w:sz w:val="21"/>
        </w:rPr>
        <w:t xml:space="preserve">. </w:t>
      </w:r>
      <w:r>
        <w:rPr>
          <w:rFonts w:hint="eastAsia"/>
          <w:sz w:val="21"/>
        </w:rPr>
        <w:t>As shown in Figure 6, the gNB can configures the UE with N sets of PRACH configuration. Each of the N sets corresponds to one physical cell. The UE can get PRACH resource triggered by a DCI according to PCI indicated in the DCI.</w:t>
      </w:r>
    </w:p>
    <w:p>
      <w:pPr>
        <w:pStyle w:val="119"/>
        <w:snapToGrid w:val="0"/>
        <w:spacing w:before="60" w:beforeLines="25" w:after="60" w:afterLines="25" w:line="300" w:lineRule="auto"/>
        <w:ind w:firstLine="0" w:firstLineChars="0"/>
        <w:jc w:val="center"/>
        <w:rPr>
          <w:sz w:val="21"/>
        </w:rPr>
      </w:pPr>
      <w:r>
        <w:rPr>
          <w:sz w:val="21"/>
        </w:rPr>
        <w:drawing>
          <wp:inline distT="0" distB="0" distL="114300" distR="114300">
            <wp:extent cx="3228975" cy="2308860"/>
            <wp:effectExtent l="0" t="0" r="9525" b="15240"/>
            <wp:docPr id="1" name="图片 1"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0"/>
                    <pic:cNvPicPr>
                      <a:picLocks noChangeAspect="1"/>
                    </pic:cNvPicPr>
                  </pic:nvPicPr>
                  <pic:blipFill>
                    <a:blip r:embed="rId18"/>
                    <a:stretch>
                      <a:fillRect/>
                    </a:stretch>
                  </pic:blipFill>
                  <pic:spPr>
                    <a:xfrm>
                      <a:off x="0" y="0"/>
                      <a:ext cx="3228975" cy="2308860"/>
                    </a:xfrm>
                    <a:prstGeom prst="rect">
                      <a:avLst/>
                    </a:prstGeom>
                  </pic:spPr>
                </pic:pic>
              </a:graphicData>
            </a:graphic>
          </wp:inline>
        </w:drawing>
      </w:r>
    </w:p>
    <w:p>
      <w:pPr>
        <w:pStyle w:val="119"/>
        <w:snapToGrid w:val="0"/>
        <w:spacing w:before="60" w:beforeLines="25" w:after="60" w:afterLines="25" w:line="300" w:lineRule="auto"/>
        <w:ind w:firstLine="0" w:firstLineChars="0"/>
        <w:jc w:val="center"/>
        <w:rPr>
          <w:rFonts w:eastAsia="t"/>
          <w:bCs/>
        </w:rPr>
      </w:pPr>
      <w:r>
        <w:rPr>
          <w:b/>
        </w:rPr>
        <w:t xml:space="preserve">Figure </w:t>
      </w:r>
      <w:r>
        <w:rPr>
          <w:rFonts w:hint="eastAsia"/>
          <w:b/>
        </w:rPr>
        <w:t xml:space="preserve">6 </w:t>
      </w:r>
      <w:r>
        <w:rPr>
          <w:rFonts w:eastAsia="t"/>
          <w:bCs/>
        </w:rPr>
        <w:t xml:space="preserve"> DCI triggering PRACH includes PCI</w:t>
      </w:r>
    </w:p>
    <w:p>
      <w:pPr>
        <w:pStyle w:val="119"/>
        <w:snapToGrid w:val="0"/>
        <w:spacing w:before="60" w:beforeLines="25" w:after="60" w:afterLines="25" w:line="300" w:lineRule="auto"/>
        <w:ind w:firstLine="0" w:firstLineChars="0"/>
        <w:rPr>
          <w:b/>
          <w:bCs/>
          <w:i/>
          <w:iCs/>
        </w:rPr>
      </w:pPr>
      <w:r>
        <w:rPr>
          <w:rFonts w:hint="eastAsia"/>
          <w:b/>
          <w:bCs/>
          <w:i/>
          <w:iCs/>
        </w:rPr>
        <w:t>Proposal 9:</w:t>
      </w:r>
      <w:r>
        <w:rPr>
          <w:b/>
          <w:bCs/>
          <w:i/>
          <w:iCs/>
        </w:rPr>
        <w:t xml:space="preserve"> </w:t>
      </w:r>
      <w:r>
        <w:rPr>
          <w:i/>
        </w:rPr>
        <w:t xml:space="preserve">The UE can be configured with multiple sets of PRACH configurations, each of </w:t>
      </w:r>
      <w:r>
        <w:rPr>
          <w:rFonts w:hint="eastAsia"/>
          <w:i/>
        </w:rPr>
        <w:t>which</w:t>
      </w:r>
      <w:r>
        <w:rPr>
          <w:i/>
        </w:rPr>
        <w:t xml:space="preserve"> corresponds to one PCI</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10: </w:t>
      </w:r>
      <w:r>
        <w:rPr>
          <w:i/>
        </w:rPr>
        <w:t xml:space="preserve">The DCI triggering PRACH should includes PCI, then the UE get the PRACH resources according to a set of PRACH configuration corresponding to the PCI. </w:t>
      </w:r>
    </w:p>
    <w:p>
      <w:pPr>
        <w:snapToGrid w:val="0"/>
        <w:spacing w:before="60" w:beforeLines="25" w:after="60" w:afterLines="25" w:line="300" w:lineRule="auto"/>
        <w:rPr>
          <w:sz w:val="21"/>
        </w:rPr>
      </w:pPr>
      <w:r>
        <w:rPr>
          <w:rFonts w:hint="eastAsia"/>
          <w:sz w:val="21"/>
        </w:rPr>
        <w:t>In addition, when a serving cell is associated with more than one PCIs, the serving cell will be associated with more than one mobility measurement signal sets configured in MeasObject. The UE will determine whether a L3 mobility event happens based on quality of a serving cell which is an average value of qualities of a mobility RS set, but the serving cell is associated with two mobility RS sets each of which is associated with a PCI now. The PCI of a measurement signal set on which the quality of the serving cell is measured should be clarified.</w:t>
      </w:r>
    </w:p>
    <w:p>
      <w:pPr>
        <w:pStyle w:val="119"/>
        <w:snapToGrid w:val="0"/>
        <w:spacing w:before="60" w:beforeLines="25" w:after="60" w:afterLines="25" w:line="300" w:lineRule="auto"/>
        <w:ind w:firstLine="0" w:firstLineChars="0"/>
        <w:rPr>
          <w:i/>
        </w:rPr>
      </w:pPr>
      <w:r>
        <w:rPr>
          <w:rFonts w:hint="eastAsia"/>
          <w:b/>
          <w:bCs/>
          <w:i/>
          <w:iCs/>
        </w:rPr>
        <w:t>Proposal 11:</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2"/>
        <w:spacing w:before="240" w:after="120"/>
        <w:ind w:left="0" w:firstLine="0"/>
        <w:rPr>
          <w:lang w:val="en-US"/>
        </w:rPr>
      </w:pPr>
      <w:r>
        <w:rPr>
          <w:rFonts w:hint="eastAsia"/>
          <w:lang w:val="en-US"/>
        </w:rPr>
        <w:t>Further details on TRP-Specific BFR</w:t>
      </w:r>
    </w:p>
    <w:p>
      <w:pPr>
        <w:numPr>
          <w:ilvl w:val="255"/>
          <w:numId w:val="0"/>
        </w:numPr>
        <w:spacing w:after="120"/>
      </w:pPr>
      <w:r>
        <w:rPr>
          <w:rFonts w:hint="eastAsia"/>
        </w:rPr>
        <w:t>As discussed in our contribution [2], w</w:t>
      </w:r>
      <w:r>
        <w:t xml:space="preserve">hen </w:t>
      </w:r>
      <w:r>
        <w:rPr>
          <w:rFonts w:hint="eastAsia"/>
        </w:rPr>
        <w:t xml:space="preserve">the </w:t>
      </w:r>
      <w:r>
        <w:t>UE report</w:t>
      </w:r>
      <w:r>
        <w:rPr>
          <w:rFonts w:hint="eastAsia"/>
        </w:rPr>
        <w:t>s two</w:t>
      </w:r>
      <w:r>
        <w:t xml:space="preserve"> q</w:t>
      </w:r>
      <w:r>
        <w:rPr>
          <w:vertAlign w:val="subscript"/>
        </w:rPr>
        <w:t>new</w:t>
      </w:r>
      <w:r>
        <w:rPr>
          <w:rFonts w:hint="eastAsia"/>
        </w:rPr>
        <w:t xml:space="preserve"> each of which is for a TRP</w:t>
      </w:r>
      <w:r>
        <w:t xml:space="preserve">, both separate </w:t>
      </w:r>
      <w:r>
        <w:rPr>
          <w:rFonts w:hint="eastAsia"/>
        </w:rPr>
        <w:t xml:space="preserve">BFR MAC-CE </w:t>
      </w:r>
      <w:r>
        <w:t xml:space="preserve">and </w:t>
      </w:r>
      <w:r>
        <w:rPr>
          <w:rFonts w:hint="eastAsia"/>
        </w:rPr>
        <w:t>j</w:t>
      </w:r>
      <w:r>
        <w:t>oint</w:t>
      </w:r>
      <w:r>
        <w:rPr>
          <w:rFonts w:hint="eastAsia"/>
        </w:rPr>
        <w:t xml:space="preserve"> BFR MAC-CE</w:t>
      </w:r>
      <w:r>
        <w:t xml:space="preserve"> should be s</w:t>
      </w:r>
      <w:r>
        <w:rPr>
          <w:rFonts w:hint="eastAsia"/>
        </w:rPr>
        <w:t>upported</w:t>
      </w:r>
      <w:r>
        <w:t xml:space="preserve">. </w:t>
      </w:r>
      <w:r>
        <w:rPr>
          <w:rFonts w:hint="eastAsia"/>
        </w:rPr>
        <w:t xml:space="preserve">In this section, we give more details of the separate BFR MAC-CE and joint BFR MAC-CE. </w:t>
      </w:r>
    </w:p>
    <w:p>
      <w:pPr>
        <w:pStyle w:val="129"/>
        <w:numPr>
          <w:ilvl w:val="0"/>
          <w:numId w:val="20"/>
        </w:numPr>
        <w:spacing w:after="120"/>
      </w:pPr>
      <w:r>
        <w:rPr>
          <w:rFonts w:hint="eastAsia"/>
        </w:rPr>
        <w:t xml:space="preserve">A separate </w:t>
      </w:r>
      <w:r>
        <w:t xml:space="preserve">BFR MAC-CE includes beam failure information </w:t>
      </w:r>
      <w:r>
        <w:rPr>
          <w:rFonts w:hint="eastAsia"/>
        </w:rPr>
        <w:t>of</w:t>
      </w:r>
      <w:r>
        <w:t xml:space="preserve"> only one TRP</w:t>
      </w:r>
      <w:r>
        <w:rPr>
          <w:rFonts w:hint="eastAsia"/>
        </w:rPr>
        <w:t>,</w:t>
      </w:r>
      <w:r>
        <w:t xml:space="preserve"> and beam failure information for different TRPs are in different BFR MAC-CE</w:t>
      </w:r>
      <w:r>
        <w:rPr>
          <w:rFonts w:hint="eastAsia"/>
        </w:rPr>
        <w:t>s as shown in Figure 7. Only one of TRP index, such as CORESET pool index, needs to be included in the separate BFR MAC-CE. If no TRP of SpCell fails, two s</w:t>
      </w:r>
      <w:r>
        <w:t>eparate BFR MAC-CE</w:t>
      </w:r>
      <w:r>
        <w:rPr>
          <w:rFonts w:hint="eastAsia"/>
        </w:rPr>
        <w:t>s with BFR information of SCell can be successfully transmitted to the corresponding TRP on SpCell respectively. It</w:t>
      </w:r>
      <w:r>
        <w:t xml:space="preserve"> requires no communication between TRPs</w:t>
      </w:r>
      <w:r>
        <w:rPr>
          <w:rFonts w:hint="eastAsia"/>
        </w:rPr>
        <w:t xml:space="preserve">, and the failed TRP can be recovered quickly. </w:t>
      </w:r>
    </w:p>
    <w:p>
      <w:pPr>
        <w:pStyle w:val="129"/>
        <w:numPr>
          <w:ilvl w:val="0"/>
          <w:numId w:val="20"/>
        </w:numPr>
        <w:spacing w:after="120"/>
      </w:pPr>
      <w:r>
        <w:rPr>
          <w:rFonts w:hint="eastAsia"/>
        </w:rPr>
        <w:t>A joint</w:t>
      </w:r>
      <w:r>
        <w:t xml:space="preserve"> BFR MAC-CE includes beam failure information </w:t>
      </w:r>
      <w:r>
        <w:rPr>
          <w:rFonts w:hint="eastAsia"/>
        </w:rPr>
        <w:t>of</w:t>
      </w:r>
      <w:r>
        <w:t xml:space="preserve"> more than one TRP</w:t>
      </w:r>
      <w:r>
        <w:rPr>
          <w:rFonts w:hint="eastAsia"/>
        </w:rPr>
        <w:t>s as shown in Figure 8</w:t>
      </w:r>
      <w:r>
        <w:t xml:space="preserve">. </w:t>
      </w:r>
      <w:r>
        <w:rPr>
          <w:rFonts w:hint="eastAsia"/>
        </w:rPr>
        <w:t xml:space="preserve">There are two serving cell indication bitmaps. The two bitmaps correspond two TRPs, such as two CORESET pool indexes. Joint BFR MAC-CE requires communication between </w:t>
      </w:r>
      <w:r>
        <w:t xml:space="preserve">TRPs and is suitable when </w:t>
      </w:r>
      <w:r>
        <w:rPr>
          <w:rFonts w:hint="eastAsia"/>
        </w:rPr>
        <w:t xml:space="preserve">any one TRP of SpCell  fails. Further, it requires only one SpCell PRACH if both SpCell TRPs fail. It can be in msg3/msg because PRACH will be initialed when both TRP of SpCell fail which has been agreed in last meeting.  For SpCell, there are two bits in bitmap of serving cell corresponding to two TRPs of SpCell and up to only one octet including AC and candidate RS index. Another candidate RS of SpCell has been transmitted by preamble, then it is unnecessary to contain two octets including AC and candidate RS index for SpCell. The octet of SpCell can be the end octet.  </w:t>
      </w:r>
    </w:p>
    <w:p>
      <w:pPr>
        <w:numPr>
          <w:ilvl w:val="255"/>
          <w:numId w:val="0"/>
        </w:numPr>
        <w:spacing w:after="120"/>
        <w:jc w:val="center"/>
      </w:pPr>
      <w:r>
        <w:object>
          <v:shape id="_x0000_i1028" o:spt="75" type="#_x0000_t75" style="height:159.5pt;width:362pt;" o:ole="t" filled="f" o:preferrelative="t" stroked="f" coordsize="21600,21600">
            <v:path/>
            <v:fill on="f" focussize="0,0"/>
            <v:stroke on="f" joinstyle="miter"/>
            <v:imagedata r:id="rId20" o:title=""/>
            <o:lock v:ext="edit" aspectratio="t"/>
            <w10:wrap type="none"/>
            <w10:anchorlock/>
          </v:shape>
          <o:OLEObject Type="Embed" ProgID="Visio.Drawing.11" ShapeID="_x0000_i1028" DrawAspect="Content" ObjectID="_1468075728" r:id="rId19">
            <o:LockedField>false</o:LockedField>
          </o:OLEObject>
        </w:object>
      </w:r>
    </w:p>
    <w:p>
      <w:pPr>
        <w:pStyle w:val="119"/>
        <w:snapToGrid w:val="0"/>
        <w:spacing w:before="60" w:beforeLines="25" w:after="60" w:afterLines="25" w:line="300" w:lineRule="auto"/>
        <w:ind w:firstLine="0" w:firstLineChars="0"/>
        <w:jc w:val="center"/>
        <w:rPr>
          <w:rFonts w:eastAsia="t"/>
          <w:bCs/>
          <w:sz w:val="21"/>
          <w:szCs w:val="22"/>
        </w:rPr>
      </w:pPr>
      <w:r>
        <w:rPr>
          <w:b/>
        </w:rPr>
        <w:t xml:space="preserve">Figure </w:t>
      </w:r>
      <w:r>
        <w:rPr>
          <w:rFonts w:hint="eastAsia"/>
          <w:b/>
        </w:rPr>
        <w:t xml:space="preserve">7 </w:t>
      </w:r>
      <w:r>
        <w:rPr>
          <w:rFonts w:eastAsia="t"/>
          <w:bCs/>
          <w:sz w:val="21"/>
          <w:szCs w:val="22"/>
        </w:rPr>
        <w:t>Separate MAC-CE for TRP-Specific BFR</w:t>
      </w:r>
    </w:p>
    <w:p>
      <w:pPr>
        <w:pStyle w:val="119"/>
        <w:snapToGrid w:val="0"/>
        <w:spacing w:before="60" w:beforeLines="25" w:after="60" w:afterLines="25" w:line="300" w:lineRule="auto"/>
        <w:ind w:firstLine="0" w:firstLineChars="0"/>
        <w:jc w:val="center"/>
        <w:rPr>
          <w:rFonts w:eastAsia="t"/>
          <w:bCs/>
          <w:sz w:val="21"/>
          <w:szCs w:val="22"/>
        </w:rPr>
      </w:pPr>
      <w:r>
        <mc:AlternateContent>
          <mc:Choice Requires="wpg">
            <w:drawing>
              <wp:inline distT="0" distB="0" distL="114935" distR="114935">
                <wp:extent cx="4178935" cy="2624455"/>
                <wp:effectExtent l="0" t="0" r="0" b="39370"/>
                <wp:docPr id="38" name="组合 70"/>
                <wp:cNvGraphicFramePr/>
                <a:graphic xmlns:a="http://schemas.openxmlformats.org/drawingml/2006/main">
                  <a:graphicData uri="http://schemas.microsoft.com/office/word/2010/wordprocessingGroup">
                    <wpg:wgp>
                      <wpg:cNvGrpSpPr/>
                      <wpg:grpSpPr>
                        <a:xfrm>
                          <a:off x="0" y="0"/>
                          <a:ext cx="4178935" cy="2624455"/>
                          <a:chOff x="2699" y="845"/>
                          <a:chExt cx="13638" cy="11225"/>
                        </a:xfrm>
                      </wpg:grpSpPr>
                      <wps:wsp>
                        <wps:cNvPr id="39" name="矩形 1"/>
                        <wps:cNvSpPr/>
                        <wps:spPr>
                          <a:xfrm>
                            <a:off x="27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wps:txbx>
                        <wps:bodyPr rtlCol="0" anchor="ctr"/>
                      </wps:wsp>
                      <wps:wsp>
                        <wps:cNvPr id="40" name="矩形 2"/>
                        <wps:cNvSpPr/>
                        <wps:spPr>
                          <a:xfrm>
                            <a:off x="38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wps:txbx>
                        <wps:bodyPr rtlCol="0" anchor="ctr"/>
                      </wps:wsp>
                      <wps:wsp>
                        <wps:cNvPr id="41" name="矩形 3"/>
                        <wps:cNvSpPr/>
                        <wps:spPr>
                          <a:xfrm>
                            <a:off x="49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wps:txbx>
                        <wps:bodyPr rtlCol="0" anchor="ctr"/>
                      </wps:wsp>
                      <wps:wsp>
                        <wps:cNvPr id="42" name="矩形 4"/>
                        <wps:cNvSpPr/>
                        <wps:spPr>
                          <a:xfrm>
                            <a:off x="60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wps:txbx>
                        <wps:bodyPr rtlCol="0" anchor="ctr"/>
                      </wps:wsp>
                      <wps:wsp>
                        <wps:cNvPr id="46" name="矩形 5"/>
                        <wps:cNvSpPr/>
                        <wps:spPr>
                          <a:xfrm>
                            <a:off x="71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wps:txbx>
                        <wps:bodyPr rtlCol="0" anchor="ctr"/>
                      </wps:wsp>
                      <wps:wsp>
                        <wps:cNvPr id="49" name="矩形 6"/>
                        <wps:cNvSpPr/>
                        <wps:spPr>
                          <a:xfrm>
                            <a:off x="82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wps:txbx>
                        <wps:bodyPr rtlCol="0" anchor="ctr"/>
                      </wps:wsp>
                      <wps:wsp>
                        <wps:cNvPr id="50" name="矩形 7"/>
                        <wps:cNvSpPr/>
                        <wps:spPr>
                          <a:xfrm>
                            <a:off x="94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wps:txbx>
                        <wps:bodyPr rtlCol="0" anchor="ctr"/>
                      </wps:wsp>
                      <wps:wsp>
                        <wps:cNvPr id="72" name="矩形 8"/>
                        <wps:cNvSpPr/>
                        <wps:spPr>
                          <a:xfrm>
                            <a:off x="105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txbxContent>
                        </wps:txbx>
                        <wps:bodyPr rtlCol="0" anchor="ctr"/>
                      </wps:wsp>
                      <wps:wsp>
                        <wps:cNvPr id="73" name="矩形 9"/>
                        <wps:cNvSpPr/>
                        <wps:spPr>
                          <a:xfrm>
                            <a:off x="27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15</w:t>
                              </w:r>
                            </w:p>
                          </w:txbxContent>
                        </wps:txbx>
                        <wps:bodyPr rtlCol="0" anchor="ctr"/>
                      </wps:wsp>
                      <wps:wsp>
                        <wps:cNvPr id="74" name="矩形 10"/>
                        <wps:cNvSpPr/>
                        <wps:spPr>
                          <a:xfrm>
                            <a:off x="38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14</w:t>
                              </w:r>
                            </w:p>
                          </w:txbxContent>
                        </wps:txbx>
                        <wps:bodyPr rtlCol="0" anchor="ctr"/>
                      </wps:wsp>
                      <wps:wsp>
                        <wps:cNvPr id="75" name="矩形 11"/>
                        <wps:cNvSpPr/>
                        <wps:spPr>
                          <a:xfrm>
                            <a:off x="4987"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13</w:t>
                              </w:r>
                            </w:p>
                          </w:txbxContent>
                        </wps:txbx>
                        <wps:bodyPr rtlCol="0" anchor="ctr"/>
                      </wps:wsp>
                      <wps:wsp>
                        <wps:cNvPr id="76" name="矩形 12"/>
                        <wps:cNvSpPr/>
                        <wps:spPr>
                          <a:xfrm>
                            <a:off x="6087"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12</w:t>
                              </w:r>
                            </w:p>
                          </w:txbxContent>
                        </wps:txbx>
                        <wps:bodyPr rtlCol="0" anchor="ctr"/>
                      </wps:wsp>
                      <wps:wsp>
                        <wps:cNvPr id="77" name="矩形 13"/>
                        <wps:cNvSpPr/>
                        <wps:spPr>
                          <a:xfrm>
                            <a:off x="71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11</w:t>
                              </w:r>
                            </w:p>
                          </w:txbxContent>
                        </wps:txbx>
                        <wps:bodyPr rtlCol="0" anchor="ctr"/>
                      </wps:wsp>
                      <wps:wsp>
                        <wps:cNvPr id="138" name="矩形 14"/>
                        <wps:cNvSpPr/>
                        <wps:spPr>
                          <a:xfrm>
                            <a:off x="82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10</w:t>
                              </w:r>
                            </w:p>
                          </w:txbxContent>
                        </wps:txbx>
                        <wps:bodyPr rtlCol="0" anchor="ctr"/>
                      </wps:wsp>
                      <wps:wsp>
                        <wps:cNvPr id="79" name="矩形 15"/>
                        <wps:cNvSpPr/>
                        <wps:spPr>
                          <a:xfrm>
                            <a:off x="94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9</w:t>
                              </w:r>
                            </w:p>
                          </w:txbxContent>
                        </wps:txbx>
                        <wps:bodyPr rtlCol="0" anchor="ctr"/>
                      </wps:wsp>
                      <wps:wsp>
                        <wps:cNvPr id="80" name="矩形 16"/>
                        <wps:cNvSpPr/>
                        <wps:spPr>
                          <a:xfrm>
                            <a:off x="105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8</w:t>
                              </w:r>
                            </w:p>
                          </w:txbxContent>
                        </wps:txbx>
                        <wps:bodyPr rtlCol="0" anchor="ctr"/>
                      </wps:wsp>
                      <wps:wsp>
                        <wps:cNvPr id="81" name="矩形 17"/>
                        <wps:cNvSpPr/>
                        <wps:spPr>
                          <a:xfrm>
                            <a:off x="27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wps:txbx>
                        <wps:bodyPr rtlCol="0" anchor="ctr"/>
                      </wps:wsp>
                      <wps:wsp>
                        <wps:cNvPr id="82" name="矩形 18"/>
                        <wps:cNvSpPr/>
                        <wps:spPr>
                          <a:xfrm>
                            <a:off x="38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wps:txbx>
                        <wps:bodyPr rtlCol="0" anchor="ctr"/>
                      </wps:wsp>
                      <wps:wsp>
                        <wps:cNvPr id="83" name="矩形 19"/>
                        <wps:cNvSpPr/>
                        <wps:spPr>
                          <a:xfrm>
                            <a:off x="49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wps:txbx>
                        <wps:bodyPr rtlCol="0" anchor="ctr"/>
                      </wps:wsp>
                      <wps:wsp>
                        <wps:cNvPr id="84" name="矩形 20"/>
                        <wps:cNvSpPr/>
                        <wps:spPr>
                          <a:xfrm>
                            <a:off x="60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wps:txbx>
                        <wps:bodyPr rtlCol="0" anchor="ctr"/>
                      </wps:wsp>
                      <wps:wsp>
                        <wps:cNvPr id="85" name="矩形 21"/>
                        <wps:cNvSpPr/>
                        <wps:spPr>
                          <a:xfrm>
                            <a:off x="71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wps:txbx>
                        <wps:bodyPr rtlCol="0" anchor="ctr"/>
                      </wps:wsp>
                      <wps:wsp>
                        <wps:cNvPr id="86" name="矩形 22"/>
                        <wps:cNvSpPr/>
                        <wps:spPr>
                          <a:xfrm>
                            <a:off x="82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wps:txbx>
                        <wps:bodyPr rtlCol="0" anchor="ctr"/>
                      </wps:wsp>
                      <wps:wsp>
                        <wps:cNvPr id="87" name="矩形 23"/>
                        <wps:cNvSpPr/>
                        <wps:spPr>
                          <a:xfrm>
                            <a:off x="93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wps:txbx>
                        <wps:bodyPr rtlCol="0" anchor="ctr"/>
                      </wps:wsp>
                      <wps:wsp>
                        <wps:cNvPr id="88" name="矩形 24"/>
                        <wps:cNvSpPr/>
                        <wps:spPr>
                          <a:xfrm>
                            <a:off x="104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p>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p>
                              <w:pPr>
                                <w:pStyle w:val="23"/>
                                <w:spacing w:after="120"/>
                                <w:jc w:val="center"/>
                              </w:pPr>
                            </w:p>
                          </w:txbxContent>
                        </wps:txbx>
                        <wps:bodyPr rtlCol="0" anchor="ctr"/>
                      </wps:wsp>
                      <wps:wsp>
                        <wps:cNvPr id="89" name="直接连接符 25"/>
                        <wps:cNvCnPr/>
                        <wps:spPr>
                          <a:xfrm>
                            <a:off x="11589" y="893"/>
                            <a:ext cx="1032"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0" name="直接连接符 26"/>
                        <wps:cNvCnPr/>
                        <wps:spPr>
                          <a:xfrm>
                            <a:off x="11622" y="3130"/>
                            <a:ext cx="999"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1" name="直接箭头连接符 27"/>
                        <wps:cNvCnPr/>
                        <wps:spPr>
                          <a:xfrm flipH="1">
                            <a:off x="12055" y="845"/>
                            <a:ext cx="31" cy="2344"/>
                          </a:xfrm>
                          <a:prstGeom prst="straightConnector1">
                            <a:avLst/>
                          </a:prstGeom>
                          <a:solidFill>
                            <a:srgbClr val="FFC00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2" name="直接箭头连接符 30"/>
                        <wps:cNvCnPr/>
                        <wps:spPr>
                          <a:xfrm>
                            <a:off x="12067" y="3119"/>
                            <a:ext cx="0" cy="1189"/>
                          </a:xfrm>
                          <a:prstGeom prst="straightConnector1">
                            <a:avLst/>
                          </a:prstGeom>
                          <a:solidFill>
                            <a:srgbClr val="92D05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 name="文本框 32"/>
                        <wps:cNvSpPr txBox="1"/>
                        <wps:spPr>
                          <a:xfrm>
                            <a:off x="11603" y="3423"/>
                            <a:ext cx="4734" cy="1135"/>
                          </a:xfrm>
                          <a:prstGeom prst="rect">
                            <a:avLst/>
                          </a:prstGeom>
                          <a:noFill/>
                        </wps:spPr>
                        <wps:txb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1</w:t>
                              </w:r>
                            </w:p>
                          </w:txbxContent>
                        </wps:txbx>
                        <wps:bodyPr wrap="square" rtlCol="0">
                          <a:noAutofit/>
                        </wps:bodyPr>
                      </wps:wsp>
                      <wps:wsp>
                        <wps:cNvPr id="94" name="文本框 33"/>
                        <wps:cNvSpPr txBox="1"/>
                        <wps:spPr>
                          <a:xfrm>
                            <a:off x="11539" y="1575"/>
                            <a:ext cx="4734" cy="1135"/>
                          </a:xfrm>
                          <a:prstGeom prst="rect">
                            <a:avLst/>
                          </a:prstGeom>
                          <a:noFill/>
                        </wps:spPr>
                        <wps:txb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wps:txbx>
                        <wps:bodyPr wrap="square" rtlCol="0">
                          <a:noAutofit/>
                        </wps:bodyPr>
                      </wps:wsp>
                      <wps:wsp>
                        <wps:cNvPr id="95" name="矩形 34"/>
                        <wps:cNvSpPr/>
                        <wps:spPr>
                          <a:xfrm>
                            <a:off x="27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96" name="矩形 35"/>
                        <wps:cNvSpPr/>
                        <wps:spPr>
                          <a:xfrm>
                            <a:off x="38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97" name="矩形 36"/>
                        <wps:cNvSpPr/>
                        <wps:spPr>
                          <a:xfrm>
                            <a:off x="4987" y="42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98" name="矩形 42"/>
                        <wps:cNvSpPr/>
                        <wps:spPr>
                          <a:xfrm>
                            <a:off x="27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99" name="矩形 43"/>
                        <wps:cNvSpPr/>
                        <wps:spPr>
                          <a:xfrm>
                            <a:off x="38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00" name="矩形 44"/>
                        <wps:cNvSpPr/>
                        <wps:spPr>
                          <a:xfrm>
                            <a:off x="4979" y="64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01" name="直接连接符 46"/>
                        <wps:cNvCnPr/>
                        <wps:spPr>
                          <a:xfrm>
                            <a:off x="7259" y="5574"/>
                            <a:ext cx="0" cy="749"/>
                          </a:xfrm>
                          <a:prstGeom prst="line">
                            <a:avLst/>
                          </a:prstGeom>
                          <a:solidFill>
                            <a:srgbClr val="FFC00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02" name="直接连接符 47"/>
                        <wps:cNvCnPr/>
                        <wps:spPr>
                          <a:xfrm>
                            <a:off x="11622" y="424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3" name="直接连接符 50"/>
                        <wps:cNvCnPr/>
                        <wps:spPr>
                          <a:xfrm>
                            <a:off x="11550" y="7594"/>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4" name="直接箭头连接符 51"/>
                        <wps:cNvCnPr/>
                        <wps:spPr>
                          <a:xfrm>
                            <a:off x="12076" y="4208"/>
                            <a:ext cx="17" cy="341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5" name="文本框 52"/>
                        <wps:cNvSpPr txBox="1"/>
                        <wps:spPr>
                          <a:xfrm>
                            <a:off x="11547" y="5191"/>
                            <a:ext cx="4734" cy="1135"/>
                          </a:xfrm>
                          <a:prstGeom prst="rect">
                            <a:avLst/>
                          </a:prstGeom>
                          <a:noFill/>
                        </wps:spPr>
                        <wps:txb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wps:txbx>
                        <wps:bodyPr wrap="square" rtlCol="0">
                          <a:noAutofit/>
                        </wps:bodyPr>
                      </wps:wsp>
                      <wps:wsp>
                        <wps:cNvPr id="106" name="矩形 53"/>
                        <wps:cNvSpPr/>
                        <wps:spPr>
                          <a:xfrm>
                            <a:off x="27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07" name="矩形 54"/>
                        <wps:cNvSpPr/>
                        <wps:spPr>
                          <a:xfrm>
                            <a:off x="38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08" name="矩形 55"/>
                        <wps:cNvSpPr/>
                        <wps:spPr>
                          <a:xfrm>
                            <a:off x="4947" y="76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09" name="矩形 56"/>
                        <wps:cNvSpPr/>
                        <wps:spPr>
                          <a:xfrm>
                            <a:off x="27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10" name="矩形 57"/>
                        <wps:cNvSpPr/>
                        <wps:spPr>
                          <a:xfrm>
                            <a:off x="38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11" name="矩形 58"/>
                        <wps:cNvSpPr/>
                        <wps:spPr>
                          <a:xfrm>
                            <a:off x="4939" y="98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12" name="直接连接符 59"/>
                        <wps:cNvCnPr/>
                        <wps:spPr>
                          <a:xfrm>
                            <a:off x="7219" y="8894"/>
                            <a:ext cx="0" cy="749"/>
                          </a:xfrm>
                          <a:prstGeom prst="line">
                            <a:avLst/>
                          </a:prstGeom>
                          <a:solidFill>
                            <a:srgbClr val="92D05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13" name="直接连接符 60"/>
                        <wps:cNvCnPr/>
                        <wps:spPr>
                          <a:xfrm>
                            <a:off x="11582" y="756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直接连接符 61"/>
                        <wps:cNvCnPr/>
                        <wps:spPr>
                          <a:xfrm>
                            <a:off x="11558" y="10914"/>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15" name="直接箭头连接符 62"/>
                        <wps:cNvCnPr/>
                        <wps:spPr>
                          <a:xfrm>
                            <a:off x="12116" y="7528"/>
                            <a:ext cx="17" cy="3414"/>
                          </a:xfrm>
                          <a:prstGeom prst="straightConnector1">
                            <a:avLst/>
                          </a:prstGeom>
                          <a:solidFill>
                            <a:srgbClr val="92D050"/>
                          </a:solidFill>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6" name="文本框 63"/>
                        <wps:cNvSpPr txBox="1"/>
                        <wps:spPr>
                          <a:xfrm>
                            <a:off x="11507" y="8511"/>
                            <a:ext cx="4734" cy="1135"/>
                          </a:xfrm>
                          <a:prstGeom prst="rect">
                            <a:avLst/>
                          </a:prstGeom>
                          <a:noFill/>
                        </wps:spPr>
                        <wps:txb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 xml:space="preserve">Corresponding to BFD-RS set </w:t>
                              </w:r>
                              <w:r>
                                <w:rPr>
                                  <w:rFonts w:hint="eastAsia" w:asciiTheme="minorHAnsi" w:hAnsiTheme="minorBidi" w:eastAsiaTheme="minorEastAsia"/>
                                  <w:color w:val="000000" w:themeColor="text1"/>
                                  <w:kern w:val="24"/>
                                  <w:sz w:val="16"/>
                                  <w:szCs w:val="16"/>
                                  <w14:textFill>
                                    <w14:solidFill>
                                      <w14:schemeClr w14:val="tx1"/>
                                    </w14:solidFill>
                                  </w14:textFill>
                                </w:rPr>
                                <w:t>1</w:t>
                              </w:r>
                            </w:p>
                          </w:txbxContent>
                        </wps:txbx>
                        <wps:bodyPr wrap="square" rtlCol="0">
                          <a:noAutofit/>
                        </wps:bodyPr>
                      </wps:wsp>
                      <wps:wsp>
                        <wps:cNvPr id="117" name="矩形 64"/>
                        <wps:cNvSpPr/>
                        <wps:spPr>
                          <a:xfrm>
                            <a:off x="26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18" name="矩形 65"/>
                        <wps:cNvSpPr/>
                        <wps:spPr>
                          <a:xfrm>
                            <a:off x="37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rPr>
                                  <w:rFonts w:eastAsiaTheme="minorEastAsia"/>
                                </w:rPr>
                              </w:pPr>
                              <w:r>
                                <w:rPr>
                                  <w:rFonts w:hint="eastAsia"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19" name="矩形 66"/>
                        <wps:cNvSpPr/>
                        <wps:spPr>
                          <a:xfrm>
                            <a:off x="4915" y="10919"/>
                            <a:ext cx="6609"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20" name="直接连接符 67"/>
                        <wps:cNvCnPr/>
                        <wps:spPr>
                          <a:xfrm>
                            <a:off x="11534" y="12026"/>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21" name="文本框 68"/>
                        <wps:cNvSpPr txBox="1"/>
                        <wps:spPr>
                          <a:xfrm>
                            <a:off x="11450" y="10935"/>
                            <a:ext cx="4178" cy="1135"/>
                          </a:xfrm>
                          <a:prstGeom prst="rect">
                            <a:avLst/>
                          </a:prstGeom>
                          <a:noFill/>
                        </wps:spPr>
                        <wps:txb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SP</w:t>
                              </w:r>
                            </w:p>
                          </w:txbxContent>
                        </wps:txbx>
                        <wps:bodyPr wrap="square" rtlCol="0">
                          <a:noAutofit/>
                        </wps:bodyPr>
                      </wps:wsp>
                      <wps:wsp>
                        <wps:cNvPr id="122" name="直接箭头连接符 69"/>
                        <wps:cNvCnPr/>
                        <wps:spPr>
                          <a:xfrm>
                            <a:off x="12124" y="10916"/>
                            <a:ext cx="16" cy="1149"/>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70" o:spid="_x0000_s1026" o:spt="203" style="height:206.65pt;width:329.05pt;" coordorigin="2699,845" coordsize="13638,11225" o:gfxdata="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">
                <o:lock v:ext="edit" aspectratio="f"/>
                <v:rect id="矩形 1" o:spid="_x0000_s1026" o:spt="1" style="position:absolute;left:2779;top:895;height:1115;width:1100;v-text-anchor:middle;" fillcolor="#FFC000" filled="t" stroked="t" coordsize="21600,21600" o:gfxdata="UEsDBAoAAAAAAIdO4kAAAAAAAAAAAAAAAAAEAAAAZHJzL1BLAwQUAAAACACHTuJAI+fEwr0AAADb&#10;AAAADwAAAGRycy9kb3ducmV2LnhtbEWPzWrCQBSF90LfYbgFN1InUbB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58TC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2" o:spid="_x0000_s1026" o:spt="1" style="position:absolute;left:3879;top:895;height:1115;width:1100;v-text-anchor:middle;" fillcolor="#FFC000" filled="t" stroked="t" coordsize="21600,21600" o:gfxdata="UEsDBAoAAAAAAIdO4kAAAAAAAAAAAAAAAAAEAAAAZHJzL1BLAwQUAAAACACHTuJA6tseIroAAADb&#10;AAAADwAAAGRycy9kb3ducmV2LnhtbEVPTWvCQBC9F/oflhF6KXWTI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2x4i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3" o:spid="_x0000_s1026" o:spt="1" style="position:absolute;left:4995;top:887;height:1115;width:1100;v-text-anchor:middle;" fillcolor="#FFC000" filled="t" stroked="t" coordsize="21600,21600" o:gfxdata="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e7ub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4" o:spid="_x0000_s1026" o:spt="1" style="position:absolute;left:6095;top:887;height:1115;width:1100;v-text-anchor:middle;" fillcolor="#FFC000" filled="t" stroked="t" coordsize="21600,21600" o:gfxdata="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SXO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5" o:spid="_x0000_s1026" o:spt="1" style="position:absolute;left:7195;top:895;height:1115;width:1100;v-text-anchor:middle;" fillcolor="#FFC000" filled="t" stroked="t" coordsize="21600,21600" o:gfxdata="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fiPN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6" o:spid="_x0000_s1026" o:spt="1" style="position:absolute;left:8295;top:895;height:1115;width:1100;v-text-anchor:middle;" fillcolor="#FFC000" filled="t" stroked="t" coordsize="21600,21600" o:gfxdata="UEsDBAoAAAAAAIdO4kAAAAAAAAAAAAAAAAAEAAAAZHJzL1BLAwQUAAAACACHTuJAe+G3v70AAADb&#10;AAAADwAAAGRycy9kb3ducmV2LnhtbEWPzWrCQBSF90LfYbgFN1InEbF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4be/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7" o:spid="_x0000_s1026" o:spt="1" style="position:absolute;left:9411;top:887;height:1115;width:1100;v-text-anchor:middle;" fillcolor="#FFC000" filled="t" stroked="t" coordsize="21600,21600" o:gfxdata="UEsDBAoAAAAAAIdO4kAAAAAAAAAAAAAAAAAEAAAAZHJzL1BLAwQUAAAACACHTuJAbwKI/7oAAADb&#10;AAAADwAAAGRycy9kb3ducmV2LnhtbEVPTWvCQBC9F/oflhF6KXWTg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Ao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8" o:spid="_x0000_s1026" o:spt="1" style="position:absolute;left:10511;top:887;height:1115;width:1100;v-text-anchor:middle;" fillcolor="#FFC000" filled="t" stroked="t" coordsize="21600,21600" o:gfxdata="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Ke9z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txbxContent>
                  </v:textbox>
                </v:rect>
                <v:rect id="矩形 9" o:spid="_x0000_s1026" o:spt="1" style="position:absolute;left:2771;top:2039;height:1115;width:1100;v-text-anchor:middle;" fillcolor="#FFC000" filled="t" stroked="t" coordsize="21600,21600" o:gfxdata="UEsDBAoAAAAAAIdO4kAAAAAAAAAAAAAAAAAEAAAAZHJzL1BLAwQUAAAACACHTuJA1GVK6LsAAADb&#10;AAAADwAAAGRycy9kb3ducmV2LnhtbEWPzYrCMBSF98K8Q7gDs5Ex7Qg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VK6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15</w:t>
                        </w:r>
                      </w:p>
                    </w:txbxContent>
                  </v:textbox>
                </v:rect>
                <v:rect id="矩形 10" o:spid="_x0000_s1026" o:spt="1" style="position:absolute;left:3871;top:2039;height:1115;width:1100;v-text-anchor:middle;" fillcolor="#FFC000" filled="t" stroked="t" coordsize="21600,21600" o:gfxdata="UEsDBAoAAAAAAIdO4kAAAAAAAAAAAAAAAAAEAAAAZHJzL1BLAwQUAAAACACHTuJAW4zSnLsAAADb&#10;AAAADwAAAGRycy9kb3ducmV2LnhtbEWPzYrCMBSF98K8Q7gDs5Ex7SA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4zSn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14</w:t>
                        </w:r>
                      </w:p>
                    </w:txbxContent>
                  </v:textbox>
                </v:rect>
                <v:rect id="矩形 11" o:spid="_x0000_s1026" o:spt="1" style="position:absolute;left:4987;top:2031;height:1115;width:1100;v-text-anchor:middle;" fillcolor="#FFC000" filled="t" stroked="t" coordsize="21600,21600" o:gfxdata="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Adwe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13</w:t>
                        </w:r>
                      </w:p>
                    </w:txbxContent>
                  </v:textbox>
                </v:rect>
                <v:rect id="矩形 12" o:spid="_x0000_s1026" o:spt="1" style="position:absolute;left:6087;top:2031;height:1115;width:1100;v-text-anchor:middle;" fillcolor="#FFC000" filled="t" stroked="t" coordsize="21600,21600" o:gfxdata="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Eulw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12</w:t>
                        </w:r>
                      </w:p>
                    </w:txbxContent>
                  </v:textbox>
                </v:rect>
                <v:rect id="矩形 13" o:spid="_x0000_s1026" o:spt="1" style="position:absolute;left:7187;top:2039;height:1115;width:1100;v-text-anchor:middle;" fillcolor="#FFC000" filled="t" stroked="t" coordsize="21600,21600" o:gfxdata="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15M67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11</w:t>
                        </w:r>
                      </w:p>
                    </w:txbxContent>
                  </v:textbox>
                </v:rect>
                <v:rect id="矩形 14" o:spid="_x0000_s1026" o:spt="1" style="position:absolute;left:8287;top:2039;height:1115;width:1100;v-text-anchor:middle;" fillcolor="#FFC000" filled="t" stroked="t" coordsize="21600,21600" o:gfxdata="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j/b4A&#10;AADc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10</w:t>
                        </w:r>
                      </w:p>
                    </w:txbxContent>
                  </v:textbox>
                </v:rect>
                <v:rect id="矩形 15" o:spid="_x0000_s1026" o:spt="1" style="position:absolute;left:9403;top:2031;height:1115;width:1100;v-text-anchor:middle;" fillcolor="#FFC000" filled="t" stroked="t" coordsize="21600,21600" o:gfxdata="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NfQK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9</w:t>
                        </w:r>
                      </w:p>
                    </w:txbxContent>
                  </v:textbox>
                </v:rect>
                <v:rect id="矩形 16" o:spid="_x0000_s1026" o:spt="1" style="position:absolute;left:10503;top:2031;height:1115;width:1100;v-text-anchor:middle;" fillcolor="#FFC000" filled="t" stroked="t" coordsize="21600,21600" o:gfxdata="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YqS4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8</w:t>
                        </w:r>
                      </w:p>
                    </w:txbxContent>
                  </v:textbox>
                </v:rect>
                <v:rect id="矩形 17" o:spid="_x0000_s1026" o:spt="1" style="position:absolute;left:2763;top:3167;height:1115;width:1100;v-text-anchor:middle;" fillcolor="#92D050" filled="t" stroked="t" coordsize="21600,21600" o:gfxdata="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XtEP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18" o:spid="_x0000_s1026" o:spt="1" style="position:absolute;left:3863;top:3167;height:1115;width:1100;v-text-anchor:middle;" fillcolor="#92D050" filled="t" stroked="t" coordsize="21600,21600" o:gfxdata="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jE94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19" o:spid="_x0000_s1026" o:spt="1" style="position:absolute;left:4979;top:3159;height:1115;width:1100;v-text-anchor:middle;" fillcolor="#92D050" filled="t" stroked="t" coordsize="21600,21600" o:gfxdata="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fA6uO/&#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20" o:spid="_x0000_s1026" o:spt="1" style="position:absolute;left:6079;top:3159;height:1115;width:1100;v-text-anchor:middle;" fillcolor="#92D050" filled="t" stroked="t" coordsize="21600,21600" o:gfxdata="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lyl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21" o:spid="_x0000_s1026" o:spt="1" style="position:absolute;left:7179;top:3167;height:1115;width:1100;v-text-anchor:middle;" fillcolor="#92D050" filled="t" stroked="t" coordsize="21600,21600" o:gfxdata="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l1wy/&#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22" o:spid="_x0000_s1026" o:spt="1" style="position:absolute;left:8279;top:3167;height:1115;width:1100;v-text-anchor:middle;" fillcolor="#92D050" filled="t" stroked="t" coordsize="21600,21600" o:gfxdata="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7dJe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23" o:spid="_x0000_s1026" o:spt="1" style="position:absolute;left:9395;top:3159;height:1115;width:1100;v-text-anchor:middle;" fillcolor="#92D050" filled="t" stroked="t" coordsize="21600,21600" o:gfxdata="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zg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24" o:spid="_x0000_s1026" o:spt="1" style="position:absolute;left:10495;top:3159;height:1115;width:1100;v-text-anchor:middle;" fillcolor="#92D050" filled="t" stroked="t" coordsize="21600,21600" o:gfxdata="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R4kr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p>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p>
                        <w:pPr>
                          <w:pStyle w:val="23"/>
                          <w:spacing w:after="120"/>
                          <w:jc w:val="center"/>
                        </w:pPr>
                      </w:p>
                    </w:txbxContent>
                  </v:textbox>
                </v:rect>
                <v:line id="直接连接符 25" o:spid="_x0000_s1026" o:spt="20" style="position:absolute;left:11589;top:893;height:17;width:1032;" filled="f" stroked="t" coordsize="21600,21600" o:gfxdata="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0gN5b4A&#10;AADbAAAADwAAAAAAAAABACAAAAAiAAAAZHJzL2Rvd25yZXYueG1sUEsBAhQAFAAAAAgAh07iQDMv&#10;BZ47AAAAOQAAABAAAAAAAAAAAQAgAAAADQEAAGRycy9zaGFwZXhtbC54bWxQSwUGAAAAAAYABgBb&#10;AQAAtwMAAAAA&#10;">
                  <v:fill on="f" focussize="0,0"/>
                  <v:stroke weight="0.25pt" color="#5B9BD5 [3204]" miterlimit="8" joinstyle="miter"/>
                  <v:imagedata o:title=""/>
                  <o:lock v:ext="edit" aspectratio="f"/>
                </v:line>
                <v:line id="直接连接符 26" o:spid="_x0000_s1026" o:spt="20" style="position:absolute;left:11622;top:3130;height:17;width:999;" filled="f" stroked="t" coordsize="21600,21600" o:gfxdata="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rMqW8AAAA&#10;2wAAAA8AAAAAAAAAAQAgAAAAIgAAAGRycy9kb3ducmV2LnhtbFBLAQIUABQAAAAIAIdO4kAzLwWe&#10;OwAAADkAAAAQAAAAAAAAAAEAIAAAAAsBAABkcnMvc2hhcGV4bWwueG1sUEsFBgAAAAAGAAYAWwEA&#10;ALUDAAAAAA==&#10;">
                  <v:fill on="f" focussize="0,0"/>
                  <v:stroke weight="0.25pt" color="#5B9BD5 [3204]" miterlimit="8" joinstyle="miter"/>
                  <v:imagedata o:title=""/>
                  <o:lock v:ext="edit" aspectratio="f"/>
                </v:line>
                <v:shape id="直接箭头连接符 27" o:spid="_x0000_s1026" o:spt="32" type="#_x0000_t32" style="position:absolute;left:12055;top:845;flip:x;height:2344;width:31;" fillcolor="#FFC000" filled="t" stroked="t" coordsize="21600,21600" o:gfxdata="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kU+L4A&#10;AADbAAAADwAAAAAAAAABACAAAAAiAAAAZHJzL2Rvd25yZXYueG1sUEsBAhQAFAAAAAgAh07iQDMv&#10;BZ47AAAAOQAAABAAAAAAAAAAAQAgAAAADQEAAGRycy9zaGFwZXhtbC54bWxQSwUGAAAAAAYABgBb&#10;AQAAtwMAAAAA&#10;">
                  <v:fill on="t" focussize="0,0"/>
                  <v:stroke weight="0.25pt" color="#5B9BD5 [3204]" miterlimit="8" joinstyle="miter" startarrow="open" endarrow="open"/>
                  <v:imagedata o:title=""/>
                  <o:lock v:ext="edit" aspectratio="f"/>
                </v:shape>
                <v:shape id="直接箭头连接符 30" o:spid="_x0000_s1026" o:spt="32" type="#_x0000_t32" style="position:absolute;left:12067;top:3119;height:1189;width:0;" fillcolor="#92D050" filled="t" stroked="t" coordsize="21600,21600" o:gfxdata="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ZXGrvQAA&#10;ANsAAAAPAAAAAAAAAAEAIAAAACIAAABkcnMvZG93bnJldi54bWxQSwECFAAUAAAACACHTuJAMy8F&#10;njsAAAA5AAAAEAAAAAAAAAABACAAAAAMAQAAZHJzL3NoYXBleG1sLnhtbFBLBQYAAAAABgAGAFsB&#10;AAC2AwAAAAA=&#10;">
                  <v:fill on="t" focussize="0,0"/>
                  <v:stroke weight="0.25pt" color="#5B9BD5 [3204]" miterlimit="8" joinstyle="miter" startarrow="open" endarrow="open"/>
                  <v:imagedata o:title=""/>
                  <o:lock v:ext="edit" aspectratio="f"/>
                </v:shape>
                <v:shape id="文本框 32" o:spid="_x0000_s1026" o:spt="202" type="#_x0000_t202" style="position:absolute;left:11603;top:3423;height:1135;width:4734;" filled="f" stroked="f" coordsize="21600,21600" o:gfxdata="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shvb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1</w:t>
                        </w:r>
                      </w:p>
                    </w:txbxContent>
                  </v:textbox>
                </v:shape>
                <v:shape id="文本框 33" o:spid="_x0000_s1026" o:spt="202" type="#_x0000_t202" style="position:absolute;left:11539;top:1575;height:1135;width:4734;" filled="f" stroked="f" coordsize="21600,21600" o:gfxdata="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uDr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34" o:spid="_x0000_s1026" o:spt="1" style="position:absolute;left:2771;top:4295;height:1115;width:1100;v-text-anchor:middle;" fillcolor="#FFC000" filled="t" stroked="t" coordsize="21600,21600" o:gfxdata="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zJH9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35" o:spid="_x0000_s1026" o:spt="1" style="position:absolute;left:3871;top:4295;height:1115;width:1100;v-text-anchor:middle;" fillcolor="#FFC000" filled="t" stroked="t" coordsize="21600,21600" o:gfxdata="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eD4q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36" o:spid="_x0000_s1026" o:spt="1" style="position:absolute;left:4987;top:4287;height:1115;width:6609;v-text-anchor:middle;" fillcolor="#FFC000" filled="t" stroked="t" coordsize="21600,21600" o:gfxdata="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qhG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42" o:spid="_x0000_s1026" o:spt="1" style="position:absolute;left:2763;top:6495;height:1115;width:1100;v-text-anchor:middle;" fillcolor="#FFC000" filled="t" stroked="t" coordsize="21600,21600" o:gfxdata="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zT5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43" o:spid="_x0000_s1026" o:spt="1" style="position:absolute;left:3863;top:6495;height:1115;width:1100;v-text-anchor:middle;" fillcolor="#FFC000" filled="t" stroked="t" coordsize="21600,21600" o:gfxdata="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Bm/i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44" o:spid="_x0000_s1026" o:spt="1" style="position:absolute;left:4979;top:6487;height:1115;width:6609;v-text-anchor:middle;" fillcolor="#FFC000" filled="t" stroked="t" coordsize="21600,21600" o:gfxdata="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42VG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46" o:spid="_x0000_s1026" o:spt="20" style="position:absolute;left:7259;top:5574;height:749;width:0;" fillcolor="#FFC000" filled="t" stroked="t" coordsize="21600,21600" o:gfxdata="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ERogugAAANwA&#10;AAAPAAAAAAAAAAEAIAAAACIAAABkcnMvZG93bnJldi54bWxQSwECFAAUAAAACACHTuJAMy8FnjsA&#10;AAA5AAAAEAAAAAAAAAABACAAAAAJAQAAZHJzL3NoYXBleG1sLnhtbFBLBQYAAAAABgAGAFsBAACz&#10;AwAAAAA=&#10;">
                  <v:fill on="t" focussize="0,0"/>
                  <v:stroke weight="0.5pt" color="#5B9BD5 [3204]" miterlimit="8" joinstyle="miter" dashstyle="dashDot"/>
                  <v:imagedata o:title=""/>
                  <o:lock v:ext="edit" aspectratio="f"/>
                </v:line>
                <v:line id="直接连接符 47" o:spid="_x0000_s1026" o:spt="20" style="position:absolute;left:11622;top:4242;height:16;width:1083;" filled="f" stroked="t" coordsize="21600,21600" o:gfxdata="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6bLrsAAADc&#10;AAAADwAAAAAAAAABACAAAAAiAAAAZHJzL2Rvd25yZXYueG1sUEsBAhQAFAAAAAgAh07iQDMvBZ47&#10;AAAAOQAAABAAAAAAAAAAAQAgAAAACgEAAGRycy9zaGFwZXhtbC54bWxQSwUGAAAAAAYABgBbAQAA&#10;tAMAAAAA&#10;">
                  <v:fill on="f" focussize="0,0"/>
                  <v:stroke weight="0.5pt" color="#5B9BD5 [3204]" miterlimit="8" joinstyle="miter"/>
                  <v:imagedata o:title=""/>
                  <o:lock v:ext="edit" aspectratio="f"/>
                </v:line>
                <v:line id="直接连接符 50" o:spid="_x0000_s1026" o:spt="20" style="position:absolute;left:11550;top:7594;height:16;width:1083;" filled="f" stroked="t" coordsize="21600,21600" o:gfxdata="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iPrW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shape id="直接箭头连接符 51" o:spid="_x0000_s1026" o:spt="32" type="#_x0000_t32" style="position:absolute;left:12076;top:4208;height:3414;width:17;" filled="f" stroked="t" coordsize="21600,21600" o:gfxdata="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gDAEugAAANwA&#10;AAAPAAAAAAAAAAEAIAAAACIAAABkcnMvZG93bnJldi54bWxQSwECFAAUAAAACACHTuJAMy8FnjsA&#10;AAA5AAAAEAAAAAAAAAABACAAAAAJAQAAZHJzL3NoYXBleG1sLnhtbFBLBQYAAAAABgAGAFsBAACz&#10;AwAAAAA=&#10;">
                  <v:fill on="f" focussize="0,0"/>
                  <v:stroke weight="0.5pt" color="#5B9BD5 [3204]" miterlimit="8" joinstyle="miter" startarrow="open" endarrow="open"/>
                  <v:imagedata o:title=""/>
                  <o:lock v:ext="edit" aspectratio="f"/>
                </v:shape>
                <v:shape id="文本框 52" o:spid="_x0000_s1026" o:spt="202" type="#_x0000_t202" style="position:absolute;left:11547;top:5191;height:1135;width:4734;" filled="f" stroked="f" coordsize="21600,21600" o:gfxdata="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nm79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53" o:spid="_x0000_s1026" o:spt="1" style="position:absolute;left:2731;top:7615;height:1115;width:1100;v-text-anchor:middle;" fillcolor="#92D050" filled="t" stroked="t" coordsize="21600,21600" o:gfxdata="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ifCu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4" o:spid="_x0000_s1026" o:spt="1" style="position:absolute;left:3831;top:7615;height:1115;width:1100;v-text-anchor:middle;" fillcolor="#92D050" filled="t" stroked="t" coordsize="21600,21600" o:gfxdata="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0u2bC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5" o:spid="_x0000_s1026" o:spt="1" style="position:absolute;left:4947;top:7607;height:1115;width:6609;v-text-anchor:middle;" fillcolor="#92D050" filled="t" stroked="t" coordsize="21600,21600" o:gfxdata="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yxTcK/&#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56" o:spid="_x0000_s1026" o:spt="1" style="position:absolute;left:2723;top:9815;height:1115;width:1100;v-text-anchor:middle;" fillcolor="#92D050" filled="t" stroked="t" coordsize="21600,21600" o:gfxdata="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eh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7" o:spid="_x0000_s1026" o:spt="1" style="position:absolute;left:3823;top:9815;height:1115;width:1100;v-text-anchor:middle;" fillcolor="#92D050" filled="t" stroked="t" coordsize="21600,21600" o:gfxdata="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e1xm/&#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8" o:spid="_x0000_s1026" o:spt="1" style="position:absolute;left:4939;top:9807;height:1115;width:6609;v-text-anchor:middle;" fillcolor="#92D050" filled="t" stroked="t" coordsize="21600,21600" o:gfxdata="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FJygr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59" o:spid="_x0000_s1026" o:spt="20" style="position:absolute;left:7219;top:8894;height:749;width:0;" fillcolor="#92D050" filled="t" stroked="t" coordsize="21600,21600" o:gfxdata="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hezS8AAAA&#10;3AAAAA8AAAAAAAAAAQAgAAAAIgAAAGRycy9kb3ducmV2LnhtbFBLAQIUABQAAAAIAIdO4kAzLwWe&#10;OwAAADkAAAAQAAAAAAAAAAEAIAAAAAsBAABkcnMvc2hhcGV4bWwueG1sUEsFBgAAAAAGAAYAWwEA&#10;ALUDAAAAAA==&#10;">
                  <v:fill on="t" focussize="0,0"/>
                  <v:stroke weight="0.5pt" color="#5B9BD5 [3204]" miterlimit="8" joinstyle="miter" dashstyle="dashDot"/>
                  <v:imagedata o:title=""/>
                  <o:lock v:ext="edit" aspectratio="f"/>
                </v:line>
                <v:line id="直接连接符 60" o:spid="_x0000_s1026" o:spt="20" style="position:absolute;left:11582;top:7562;height:16;width:1083;" filled="f" stroked="t" coordsize="21600,21600" o:gfxdata="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7qGi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line id="直接连接符 61" o:spid="_x0000_s1026" o:spt="20" style="position:absolute;left:11558;top:10914;height:16;width:1083;" fillcolor="#00B0F0" filled="t" stroked="t" coordsize="21600,21600" o:gfxdata="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p8WjugAAANw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line>
                <v:shape id="直接箭头连接符 62" o:spid="_x0000_s1026" o:spt="32" type="#_x0000_t32" style="position:absolute;left:12116;top:7528;height:3414;width:17;" fillcolor="#92D050" filled="t" stroked="t" coordsize="21600,21600" o:gfxdata="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fSS8AAAA&#10;3AAAAA8AAAAAAAAAAQAgAAAAIgAAAGRycy9kb3ducmV2LnhtbFBLAQIUABQAAAAIAIdO4kAzLwWe&#10;OwAAADkAAAAQAAAAAAAAAAEAIAAAAAsBAABkcnMvc2hhcGV4bWwueG1sUEsFBgAAAAAGAAYAWwEA&#10;ALUDAAAAAA==&#10;">
                  <v:fill on="t" focussize="0,0"/>
                  <v:stroke weight="0.5pt" color="#5B9BD5 [3204]" miterlimit="8" joinstyle="miter" startarrow="open" endarrow="open"/>
                  <v:imagedata o:title=""/>
                  <o:lock v:ext="edit" aspectratio="f"/>
                </v:shape>
                <v:shape id="文本框 63" o:spid="_x0000_s1026" o:spt="202" type="#_x0000_t202" style="position:absolute;left:11507;top:8511;height:1135;width:4734;" filled="f" stroked="f" coordsize="21600,21600" o:gfxdata="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3KzX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 xml:space="preserve">Corresponding to BFD-RS set </w:t>
                        </w:r>
                        <w:r>
                          <w:rPr>
                            <w:rFonts w:hint="eastAsia" w:asciiTheme="minorHAnsi" w:hAnsiTheme="minorBidi" w:eastAsiaTheme="minorEastAsia"/>
                            <w:color w:val="000000" w:themeColor="text1"/>
                            <w:kern w:val="24"/>
                            <w:sz w:val="16"/>
                            <w:szCs w:val="16"/>
                            <w14:textFill>
                              <w14:solidFill>
                                <w14:schemeClr w14:val="tx1"/>
                              </w14:solidFill>
                            </w14:textFill>
                          </w:rPr>
                          <w:t>1</w:t>
                        </w:r>
                      </w:p>
                    </w:txbxContent>
                  </v:textbox>
                </v:shape>
                <v:rect id="矩形 64" o:spid="_x0000_s1026" o:spt="1" style="position:absolute;left:2699;top:10927;height:1115;width:1100;v-text-anchor:middle;" fillcolor="#00B0F0" filled="t" stroked="t" coordsize="21600,21600" o:gfxdata="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bXtgb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65" o:spid="_x0000_s1026" o:spt="1" style="position:absolute;left:3799;top:10927;height:1115;width:1100;v-text-anchor:middle;" fillcolor="#00B0F0" filled="t" stroked="t" coordsize="21600,21600" o:gfxdata="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Knn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rPr>
                            <w:rFonts w:eastAsiaTheme="minorEastAsia"/>
                          </w:rPr>
                        </w:pPr>
                        <w:r>
                          <w:rPr>
                            <w:rFonts w:hint="eastAsia" w:asciiTheme="minorHAnsi" w:hAnsiTheme="minorBidi" w:eastAsiaTheme="minorEastAsia"/>
                            <w:color w:val="000000" w:themeColor="dark1"/>
                            <w:kern w:val="24"/>
                            <w:sz w:val="16"/>
                            <w:szCs w:val="16"/>
                            <w14:textFill>
                              <w14:solidFill>
                                <w14:schemeClr w14:val="dk1"/>
                              </w14:solidFill>
                            </w14:textFill>
                          </w:rPr>
                          <w:t>R</w:t>
                        </w:r>
                      </w:p>
                    </w:txbxContent>
                  </v:textbox>
                </v:rect>
                <v:rect id="矩形 66" o:spid="_x0000_s1026" o:spt="1" style="position:absolute;left:4915;top:10919;height:1115;width:6609;v-text-anchor:middle;" fillcolor="#00B0F0" filled="t" stroked="t" coordsize="21600,21600" o:gfxdata="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2bcaL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67" o:spid="_x0000_s1026" o:spt="20" style="position:absolute;left:11534;top:12026;height:16;width:1083;" fillcolor="#00B0F0" filled="t" stroked="t" coordsize="21600,21600" o:gfxdata="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7wCR28AAAA&#10;3A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line>
                <v:shape id="文本框 68" o:spid="_x0000_s1026" o:spt="202" type="#_x0000_t202" style="position:absolute;left:11450;top:10935;height:1135;width:4178;" filled="f" stroked="f" coordsize="21600,21600" o:gfxdata="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734Za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SP</w:t>
                        </w:r>
                      </w:p>
                    </w:txbxContent>
                  </v:textbox>
                </v:shape>
                <v:shape id="直接箭头连接符 69" o:spid="_x0000_s1026" o:spt="32" type="#_x0000_t32" style="position:absolute;left:12124;top:10916;height:1149;width:16;" filled="f" stroked="t" coordsize="21600,21600" o:gfxdata="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pBRi7sAAADc&#10;AAAADwAAAAAAAAABACAAAAAiAAAAZHJzL2Rvd25yZXYueG1sUEsBAhQAFAAAAAgAh07iQDMvBZ47&#10;AAAAOQAAABAAAAAAAAAAAQAgAAAACgEAAGRycy9zaGFwZXhtbC54bWxQSwUGAAAAAAYABgBbAQAA&#10;tAMAAAAA&#10;">
                  <v:fill on="f" focussize="0,0"/>
                  <v:stroke weight="0.5pt" color="#5B9BD5 [3204]" miterlimit="8" joinstyle="miter" startarrow="open" endarrow="open"/>
                  <v:imagedata o:title=""/>
                  <o:lock v:ext="edit" aspectratio="f"/>
                </v:shape>
                <w10:wrap type="none"/>
                <w10:anchorlock/>
              </v:group>
            </w:pict>
          </mc:Fallback>
        </mc:AlternateContent>
      </w:r>
    </w:p>
    <w:p>
      <w:pPr>
        <w:pStyle w:val="119"/>
        <w:numPr>
          <w:ilvl w:val="255"/>
          <w:numId w:val="0"/>
        </w:numPr>
        <w:snapToGrid w:val="0"/>
        <w:spacing w:before="60" w:beforeLines="25" w:after="60" w:afterLines="25" w:line="300" w:lineRule="auto"/>
        <w:jc w:val="center"/>
        <w:rPr>
          <w:rFonts w:eastAsia="t"/>
          <w:bCs/>
          <w:sz w:val="21"/>
          <w:szCs w:val="22"/>
        </w:rPr>
      </w:pPr>
      <w:r>
        <w:rPr>
          <w:b/>
        </w:rPr>
        <w:t xml:space="preserve">Figure </w:t>
      </w:r>
      <w:r>
        <w:rPr>
          <w:rFonts w:hint="eastAsia"/>
          <w:b/>
        </w:rPr>
        <w:t xml:space="preserve">8: </w:t>
      </w:r>
      <w:r>
        <w:rPr>
          <w:rFonts w:eastAsia="t"/>
          <w:bCs/>
          <w:sz w:val="21"/>
          <w:szCs w:val="22"/>
        </w:rPr>
        <w:t>Joint MAC-CE for TRP-Specific BFR</w:t>
      </w:r>
    </w:p>
    <w:p>
      <w:pPr>
        <w:pStyle w:val="119"/>
        <w:snapToGrid w:val="0"/>
        <w:spacing w:before="60" w:beforeLines="25" w:after="60" w:afterLines="25" w:line="300" w:lineRule="auto"/>
        <w:ind w:firstLine="0" w:firstLineChars="0"/>
        <w:rPr>
          <w:b/>
          <w:i/>
        </w:rPr>
      </w:pPr>
      <w:r>
        <w:rPr>
          <w:rFonts w:hint="eastAsia"/>
          <w:sz w:val="21"/>
        </w:rPr>
        <w:t xml:space="preserve">In addition, the serving cell sets correspond to different TRPs may be different. Some serving cells are configured with only first TRP, some serving cells are configured with only second TRP, some serving cells are configured with both first TRP and second TRP and some serving cells are configured without beam failure parameter by RRC. Especially, for a CC list for updating TCI state simultaneously, the beam of all CCs in the CC list are same. It is enough to detect beam failure in one CC of the CC list. Considering all above cases and to save overhead of BFR MAC-CE, the bitmap of failed CC indicating of different TRPs can correspond to different serving cell sets. . As shown in Figure 6, the serving cell set corresponding to BFD-RS set 0 of TRP 0 includes 16 serving cells each of which is configured with BFR parameter of TRP0 by RRC signaling </w:t>
      </w:r>
      <w:r>
        <w:rPr>
          <w:sz w:val="21"/>
        </w:rPr>
        <w:t>and the</w:t>
      </w:r>
      <w:r>
        <w:rPr>
          <w:rFonts w:hint="eastAsia"/>
          <w:sz w:val="21"/>
        </w:rPr>
        <w:t xml:space="preserve"> serving cell set corresponding to BFD-RS set 1 of TRP 1 includes 8 serving cells each of which is configured with BFR parameter of TRP0 by RRC signaling. </w:t>
      </w:r>
    </w:p>
    <w:p>
      <w:pPr>
        <w:pStyle w:val="119"/>
        <w:snapToGrid w:val="0"/>
        <w:spacing w:before="60" w:beforeLines="25" w:after="60" w:afterLines="25" w:line="300" w:lineRule="auto"/>
        <w:ind w:firstLine="0" w:firstLineChars="0"/>
        <w:rPr>
          <w:bCs/>
          <w:i/>
        </w:rPr>
      </w:pPr>
      <w:r>
        <w:rPr>
          <w:b/>
          <w:i/>
        </w:rPr>
        <w:t xml:space="preserve">Proposal </w:t>
      </w:r>
      <w:r>
        <w:rPr>
          <w:rFonts w:hint="eastAsia"/>
          <w:b/>
          <w:i/>
        </w:rPr>
        <w:t>12</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BFD-RS set index is in the separate BFR MAC-CE and two serving cell indication bitmaps each of which corresponds to a BFD-RS set index are in a joint BFR MAC-CE. </w:t>
      </w:r>
    </w:p>
    <w:p>
      <w:pPr>
        <w:numPr>
          <w:ilvl w:val="0"/>
          <w:numId w:val="12"/>
        </w:numPr>
        <w:overflowPunct w:val="0"/>
        <w:autoSpaceDE w:val="0"/>
        <w:autoSpaceDN w:val="0"/>
        <w:adjustRightInd w:val="0"/>
        <w:snapToGrid w:val="0"/>
        <w:spacing w:before="60" w:beforeLines="25" w:after="0" w:afterLines="0" w:line="300" w:lineRule="auto"/>
        <w:ind w:firstLine="0"/>
        <w:textAlignment w:val="baseline"/>
        <w:rPr>
          <w:i/>
        </w:rPr>
      </w:pPr>
      <w:r>
        <w:rPr>
          <w:rFonts w:hint="eastAsia"/>
          <w:i/>
        </w:rPr>
        <w:t>When no TRP of SpCell fails, separate BFR MAC-CE</w:t>
      </w:r>
      <w:r>
        <w:rPr>
          <w:i/>
        </w:rPr>
        <w:t xml:space="preserve"> is applied;</w:t>
      </w:r>
      <w:r>
        <w:rPr>
          <w:rFonts w:hint="eastAsia"/>
          <w:i/>
        </w:rPr>
        <w:t xml:space="preserve"> </w:t>
      </w:r>
      <w:r>
        <w:rPr>
          <w:i/>
        </w:rPr>
        <w:t xml:space="preserve">otherwise, </w:t>
      </w:r>
      <w:r>
        <w:rPr>
          <w:rFonts w:hint="eastAsia"/>
          <w:i/>
        </w:rPr>
        <w:t>joint BFR MAC-CE</w:t>
      </w:r>
      <w:r>
        <w:rPr>
          <w:i/>
        </w:rPr>
        <w:t xml:space="preserve"> is applied</w:t>
      </w:r>
      <w:r>
        <w:rPr>
          <w:rFonts w:hint="eastAsia"/>
          <w:i/>
        </w:rPr>
        <w:t xml:space="preserve">. </w:t>
      </w:r>
    </w:p>
    <w:p>
      <w:pPr>
        <w:pStyle w:val="119"/>
        <w:snapToGrid w:val="0"/>
        <w:spacing w:before="60" w:beforeLines="25" w:after="60" w:afterLines="25" w:line="300" w:lineRule="auto"/>
        <w:ind w:firstLine="0" w:firstLineChars="0"/>
        <w:rPr>
          <w:bCs/>
          <w:i/>
        </w:rPr>
      </w:pPr>
      <w:r>
        <w:rPr>
          <w:b/>
          <w:i/>
        </w:rPr>
        <w:t xml:space="preserve">Proposal </w:t>
      </w:r>
      <w:r>
        <w:rPr>
          <w:rFonts w:hint="eastAsia"/>
          <w:b/>
          <w:i/>
        </w:rPr>
        <w:t xml:space="preserve">13: </w:t>
      </w:r>
      <w:r>
        <w:rPr>
          <w:rFonts w:hint="eastAsia"/>
          <w:bCs/>
          <w:i/>
        </w:rPr>
        <w:t xml:space="preserve">A joint BFR MAC-CE includes up to two bits indicating beam failure are detected for two TRPs of SP. It contains up to one octet includes AC, BFD-RS set and candidate RS set for SpCell; </w:t>
      </w:r>
    </w:p>
    <w:p>
      <w:pPr>
        <w:pStyle w:val="119"/>
        <w:snapToGrid w:val="0"/>
        <w:spacing w:before="60" w:beforeLines="25" w:after="60" w:afterLines="25" w:line="300" w:lineRule="auto"/>
        <w:ind w:firstLine="0" w:firstLineChars="0"/>
        <w:rPr>
          <w:bCs/>
          <w:i/>
        </w:rPr>
      </w:pPr>
      <w:r>
        <w:rPr>
          <w:rFonts w:hint="eastAsia"/>
          <w:b/>
          <w:i/>
        </w:rPr>
        <w:t xml:space="preserve"> </w:t>
      </w:r>
      <w:r>
        <w:rPr>
          <w:b/>
          <w:i/>
        </w:rPr>
        <w:t xml:space="preserve">Proposal </w:t>
      </w:r>
      <w:r>
        <w:rPr>
          <w:rFonts w:hint="eastAsia"/>
          <w:b/>
          <w:i/>
        </w:rPr>
        <w:t>14</w:t>
      </w:r>
      <w:r>
        <w:rPr>
          <w:b/>
          <w:i/>
        </w:rPr>
        <w:t>:</w:t>
      </w:r>
      <w:r>
        <w:rPr>
          <w:rFonts w:hint="eastAsia"/>
          <w:b/>
          <w:i/>
        </w:rPr>
        <w:t xml:space="preserve"> </w:t>
      </w:r>
      <w:r>
        <w:rPr>
          <w:rFonts w:hint="eastAsia"/>
          <w:bCs/>
          <w:i/>
        </w:rPr>
        <w:t xml:space="preserve">The bitmaps of serving cell indication of different BFD-RS sets correspond to different serving cell sets. </w:t>
      </w:r>
    </w:p>
    <w:p>
      <w:pPr>
        <w:numPr>
          <w:ilvl w:val="0"/>
          <w:numId w:val="17"/>
        </w:numPr>
        <w:spacing w:before="120" w:after="120"/>
        <w:rPr>
          <w:i/>
          <w:iCs/>
        </w:rPr>
      </w:pPr>
      <w:r>
        <w:rPr>
          <w:rFonts w:hint="eastAsia"/>
          <w:i/>
          <w:iCs/>
        </w:rPr>
        <w:t>A serving cell set associated with one BFD-RS set includes serving cell configured with BFD parameter associated with the same index of BFD-RS set</w:t>
      </w:r>
    </w:p>
    <w:p>
      <w:pPr>
        <w:snapToGrid w:val="0"/>
        <w:spacing w:before="60" w:beforeLines="25" w:after="60" w:afterLines="25" w:line="300" w:lineRule="auto"/>
        <w:rPr>
          <w:sz w:val="21"/>
        </w:rPr>
      </w:pPr>
      <w:r>
        <w:rPr>
          <w:sz w:val="21"/>
        </w:rPr>
        <w:t>Considering that t</w:t>
      </w:r>
      <w:r>
        <w:rPr>
          <w:rFonts w:hint="eastAsia"/>
          <w:sz w:val="21"/>
        </w:rPr>
        <w:t xml:space="preserve">he UE can report L1 measurement for neighboring cell, the </w:t>
      </w:r>
      <w:r>
        <w:rPr>
          <w:sz w:val="21"/>
        </w:rPr>
        <w:t>beams</w:t>
      </w:r>
      <w:r>
        <w:rPr>
          <w:rFonts w:hint="eastAsia"/>
          <w:sz w:val="21"/>
        </w:rPr>
        <w:t xml:space="preserve"> of the neighboring cell </w:t>
      </w:r>
      <w:r>
        <w:rPr>
          <w:sz w:val="21"/>
        </w:rPr>
        <w:t>can be also included in</w:t>
      </w:r>
      <w:r>
        <w:rPr>
          <w:rFonts w:hint="eastAsia"/>
          <w:sz w:val="21"/>
        </w:rPr>
        <w:t xml:space="preserve"> a BFR candidate RS set q</w:t>
      </w:r>
      <w:r>
        <w:rPr>
          <w:rFonts w:hint="eastAsia"/>
          <w:sz w:val="21"/>
          <w:vertAlign w:val="subscript"/>
        </w:rPr>
        <w:t>1</w:t>
      </w:r>
      <w:r>
        <w:rPr>
          <w:rFonts w:hint="eastAsia"/>
          <w:sz w:val="21"/>
        </w:rPr>
        <w:t xml:space="preserve"> </w:t>
      </w:r>
      <w:r>
        <w:rPr>
          <w:sz w:val="21"/>
        </w:rPr>
        <w:t>that comprises two candidate RS subset q</w:t>
      </w:r>
      <w:r>
        <w:rPr>
          <w:sz w:val="21"/>
          <w:vertAlign w:val="subscript"/>
        </w:rPr>
        <w:t>11</w:t>
      </w:r>
      <w:r>
        <w:rPr>
          <w:sz w:val="21"/>
        </w:rPr>
        <w:t xml:space="preserve"> and q</w:t>
      </w:r>
      <w:r>
        <w:rPr>
          <w:sz w:val="21"/>
          <w:vertAlign w:val="subscript"/>
        </w:rPr>
        <w:t>12</w:t>
      </w:r>
      <w:r>
        <w:rPr>
          <w:sz w:val="21"/>
        </w:rPr>
        <w:t xml:space="preserve"> for each of TRPs.  </w:t>
      </w:r>
      <w:r>
        <w:rPr>
          <w:rFonts w:hint="eastAsia"/>
          <w:sz w:val="21"/>
        </w:rPr>
        <w:t>Even without multi-TRPs, a q</w:t>
      </w:r>
      <w:r>
        <w:rPr>
          <w:rFonts w:hint="eastAsia"/>
          <w:sz w:val="21"/>
          <w:vertAlign w:val="subscript"/>
        </w:rPr>
        <w:t>1</w:t>
      </w:r>
      <w:r>
        <w:rPr>
          <w:rFonts w:hint="eastAsia"/>
          <w:sz w:val="21"/>
        </w:rPr>
        <w:t xml:space="preserve"> can be associated with two candidate RS sets each of which is associated with a PCI </w:t>
      </w:r>
      <w:r>
        <w:rPr>
          <w:sz w:val="21"/>
        </w:rPr>
        <w:t>respectively. When</w:t>
      </w:r>
      <w:r>
        <w:rPr>
          <w:rFonts w:hint="eastAsia"/>
          <w:sz w:val="21"/>
        </w:rPr>
        <w:t xml:space="preserve"> beam failure is detected for a serving cell, the UE first</w:t>
      </w:r>
      <w:r>
        <w:rPr>
          <w:sz w:val="21"/>
        </w:rPr>
        <w:t xml:space="preserve"> </w:t>
      </w:r>
      <w:r>
        <w:rPr>
          <w:rFonts w:hint="eastAsia"/>
          <w:sz w:val="21"/>
        </w:rPr>
        <w:t>selects q</w:t>
      </w:r>
      <w:r>
        <w:rPr>
          <w:rFonts w:hint="eastAsia"/>
          <w:sz w:val="21"/>
          <w:vertAlign w:val="subscript"/>
        </w:rPr>
        <w:t xml:space="preserve">new </w:t>
      </w:r>
      <w:r>
        <w:rPr>
          <w:rFonts w:hint="eastAsia"/>
          <w:sz w:val="21"/>
        </w:rPr>
        <w:t xml:space="preserve">from a first candidate RS </w:t>
      </w:r>
      <w:r>
        <w:rPr>
          <w:sz w:val="21"/>
        </w:rPr>
        <w:t>sub</w:t>
      </w:r>
      <w:r>
        <w:rPr>
          <w:rFonts w:hint="eastAsia"/>
          <w:sz w:val="21"/>
        </w:rPr>
        <w:t>set q</w:t>
      </w:r>
      <w:r>
        <w:rPr>
          <w:rFonts w:hint="eastAsia"/>
          <w:sz w:val="21"/>
          <w:vertAlign w:val="subscript"/>
        </w:rPr>
        <w:t xml:space="preserve">11 </w:t>
      </w:r>
      <w:r>
        <w:rPr>
          <w:rFonts w:hint="eastAsia"/>
          <w:sz w:val="21"/>
        </w:rPr>
        <w:t>with a first PCI of serving cell, then selects q</w:t>
      </w:r>
      <w:r>
        <w:rPr>
          <w:rFonts w:hint="eastAsia"/>
          <w:sz w:val="21"/>
          <w:vertAlign w:val="subscript"/>
        </w:rPr>
        <w:t xml:space="preserve">new </w:t>
      </w:r>
      <w:r>
        <w:rPr>
          <w:rFonts w:hint="eastAsia"/>
          <w:sz w:val="21"/>
        </w:rPr>
        <w:t xml:space="preserve">from a second candidate RS </w:t>
      </w:r>
      <w:r>
        <w:rPr>
          <w:sz w:val="21"/>
        </w:rPr>
        <w:t>sub</w:t>
      </w:r>
      <w:r>
        <w:rPr>
          <w:rFonts w:hint="eastAsia"/>
          <w:sz w:val="21"/>
        </w:rPr>
        <w:t>set q</w:t>
      </w:r>
      <w:r>
        <w:rPr>
          <w:rFonts w:hint="eastAsia"/>
          <w:sz w:val="21"/>
          <w:vertAlign w:val="subscript"/>
        </w:rPr>
        <w:t xml:space="preserve">12 </w:t>
      </w:r>
      <w:r>
        <w:rPr>
          <w:rFonts w:hint="eastAsia"/>
          <w:sz w:val="21"/>
        </w:rPr>
        <w:t>with PCI 2 different from PCI of the serving cell if</w:t>
      </w:r>
      <w:r>
        <w:rPr>
          <w:sz w:val="21"/>
        </w:rPr>
        <w:t xml:space="preserve"> channel</w:t>
      </w:r>
      <w:r>
        <w:rPr>
          <w:rFonts w:hint="eastAsia"/>
          <w:sz w:val="21"/>
        </w:rPr>
        <w:t xml:space="preserve"> qualit</w:t>
      </w:r>
      <w:r>
        <w:rPr>
          <w:sz w:val="21"/>
        </w:rPr>
        <w:t>ies</w:t>
      </w:r>
      <w:r>
        <w:rPr>
          <w:rFonts w:hint="eastAsia"/>
          <w:sz w:val="21"/>
        </w:rPr>
        <w:t xml:space="preserve"> of all RSs in q</w:t>
      </w:r>
      <w:r>
        <w:rPr>
          <w:rFonts w:hint="eastAsia"/>
          <w:sz w:val="21"/>
          <w:vertAlign w:val="subscript"/>
        </w:rPr>
        <w:t>11</w:t>
      </w:r>
      <w:r>
        <w:rPr>
          <w:rFonts w:hint="eastAsia"/>
          <w:sz w:val="21"/>
        </w:rPr>
        <w:t xml:space="preserve"> </w:t>
      </w:r>
      <w:r>
        <w:rPr>
          <w:sz w:val="21"/>
        </w:rPr>
        <w:t>are</w:t>
      </w:r>
      <w:r>
        <w:rPr>
          <w:rFonts w:hint="eastAsia"/>
          <w:sz w:val="21"/>
        </w:rPr>
        <w:t xml:space="preserve"> lower than a threshold.  </w:t>
      </w:r>
    </w:p>
    <w:p>
      <w:pPr>
        <w:pStyle w:val="119"/>
        <w:snapToGrid w:val="0"/>
        <w:spacing w:before="60" w:beforeLines="25" w:after="60" w:afterLines="25" w:line="300" w:lineRule="auto"/>
        <w:ind w:firstLine="0" w:firstLineChars="0"/>
        <w:rPr>
          <w:i/>
        </w:rPr>
      </w:pPr>
      <w:r>
        <w:rPr>
          <w:rFonts w:hint="eastAsia"/>
          <w:b/>
          <w:bCs/>
          <w:i/>
          <w:iCs/>
        </w:rPr>
        <w:t xml:space="preserve">Proposal 15: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 xml:space="preserve">. </w:t>
      </w:r>
    </w:p>
    <w:p>
      <w:pPr>
        <w:pStyle w:val="2"/>
        <w:tabs>
          <w:tab w:val="clear" w:pos="432"/>
        </w:tabs>
        <w:snapToGrid w:val="0"/>
        <w:spacing w:before="120" w:beforeLines="50" w:after="120"/>
        <w:rPr>
          <w:sz w:val="28"/>
          <w:lang w:val="en-US"/>
        </w:rPr>
      </w:pPr>
      <w:r>
        <w:rPr>
          <w:sz w:val="28"/>
          <w:lang w:val="en-US"/>
        </w:rPr>
        <w:t>Conclusion</w:t>
      </w:r>
    </w:p>
    <w:p>
      <w:pPr>
        <w:widowControl w:val="0"/>
        <w:snapToGrid w:val="0"/>
        <w:spacing w:before="120" w:after="120" w:line="240" w:lineRule="auto"/>
        <w:rPr>
          <w:rFonts w:eastAsia="微软雅黑"/>
        </w:rPr>
      </w:pPr>
      <w:r>
        <w:rPr>
          <w:rFonts w:hint="eastAsia" w:eastAsia="微软雅黑"/>
        </w:rPr>
        <w:t>I</w:t>
      </w:r>
      <w:r>
        <w:rPr>
          <w:rFonts w:eastAsia="微软雅黑"/>
        </w:rPr>
        <w:t xml:space="preserve">n this contribution, we discuss </w:t>
      </w:r>
      <w:r>
        <w:rPr>
          <w:rFonts w:hint="eastAsia" w:eastAsia="微软雅黑"/>
        </w:rPr>
        <w:t xml:space="preserve">some further details and </w:t>
      </w:r>
      <w:r>
        <w:rPr>
          <w:rFonts w:eastAsia="微软雅黑"/>
        </w:rPr>
        <w:t>remaining issue</w:t>
      </w:r>
      <w:r>
        <w:rPr>
          <w:rFonts w:hint="eastAsia" w:eastAsia="微软雅黑"/>
        </w:rPr>
        <w:t>s</w:t>
      </w:r>
      <w:r>
        <w:rPr>
          <w:rFonts w:eastAsia="微软雅黑"/>
        </w:rPr>
        <w:t xml:space="preserve"> of m</w:t>
      </w:r>
      <w:r>
        <w:rPr>
          <w:rFonts w:hint="eastAsia" w:eastAsia="微软雅黑"/>
        </w:rPr>
        <w:t xml:space="preserve">ulti-beam and </w:t>
      </w:r>
      <w:r>
        <w:rPr>
          <w:rFonts w:eastAsia="微软雅黑"/>
        </w:rPr>
        <w:t>m</w:t>
      </w:r>
      <w:r>
        <w:rPr>
          <w:rFonts w:hint="eastAsia" w:eastAsia="微软雅黑"/>
        </w:rPr>
        <w:t>ulti-TRP operation</w:t>
      </w:r>
      <w:r>
        <w:rPr>
          <w:rFonts w:eastAsia="微软雅黑"/>
        </w:rPr>
        <w:t xml:space="preserve">. The following </w:t>
      </w:r>
      <w:r>
        <w:rPr>
          <w:rFonts w:hint="eastAsia" w:eastAsia="微软雅黑"/>
        </w:rPr>
        <w:t xml:space="preserve">observations and </w:t>
      </w:r>
      <w:r>
        <w:rPr>
          <w:rFonts w:eastAsia="微软雅黑"/>
        </w:rPr>
        <w:t>proposal</w:t>
      </w:r>
      <w:r>
        <w:rPr>
          <w:rFonts w:hint="eastAsia" w:eastAsia="微软雅黑"/>
        </w:rPr>
        <w:t>s are</w:t>
      </w:r>
      <w:r>
        <w:rPr>
          <w:rFonts w:eastAsia="微软雅黑"/>
        </w:rPr>
        <w:t xml:space="preserve"> given</w:t>
      </w:r>
      <w:r>
        <w:rPr>
          <w:rFonts w:hint="eastAsia" w:eastAsia="微软雅黑"/>
        </w:rPr>
        <w:t xml:space="preserve"> as follows</w:t>
      </w:r>
      <w:r>
        <w:rPr>
          <w:rFonts w:eastAsia="微软雅黑"/>
        </w:rPr>
        <w:t>.</w:t>
      </w:r>
    </w:p>
    <w:p>
      <w:pPr>
        <w:spacing w:before="240" w:beforeLines="100" w:after="12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6"/>
        </w:numPr>
        <w:overflowPunct w:val="0"/>
        <w:autoSpaceDE w:val="0"/>
        <w:autoSpaceDN w:val="0"/>
        <w:adjustRightInd w:val="0"/>
        <w:spacing w:before="120" w:after="120" w:line="240" w:lineRule="auto"/>
        <w:textAlignment w:val="baseline"/>
      </w:pPr>
      <w:r>
        <w:rPr>
          <w:i/>
        </w:rPr>
        <w:t>Under the case without IMR, L1-SINR reporting can obtain limited performance gains over L1-RSRP.</w:t>
      </w:r>
    </w:p>
    <w:p>
      <w:pPr>
        <w:numPr>
          <w:ilvl w:val="0"/>
          <w:numId w:val="12"/>
        </w:numPr>
        <w:overflowPunct w:val="0"/>
        <w:autoSpaceDE w:val="0"/>
        <w:autoSpaceDN w:val="0"/>
        <w:adjustRightInd w:val="0"/>
        <w:spacing w:before="120" w:beforeLines="50" w:after="120" w:afterLines="0" w:line="300" w:lineRule="auto"/>
        <w:textAlignment w:val="baseline"/>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pPr>
        <w:numPr>
          <w:ilvl w:val="255"/>
          <w:numId w:val="0"/>
        </w:numPr>
        <w:overflowPunct w:val="0"/>
        <w:autoSpaceDE w:val="0"/>
        <w:autoSpaceDN w:val="0"/>
        <w:adjustRightInd w:val="0"/>
        <w:spacing w:before="120" w:after="120" w:line="240" w:lineRule="auto"/>
        <w:textAlignment w:val="baseline"/>
        <w:rPr>
          <w:rFonts w:eastAsia="微软雅黑"/>
        </w:rPr>
      </w:pPr>
    </w:p>
    <w:p>
      <w:pPr>
        <w:spacing w:after="0" w:afterLines="0" w:line="300" w:lineRule="auto"/>
        <w:rPr>
          <w:rFonts w:eastAsia="微软雅黑"/>
          <w:i/>
          <w:iCs/>
        </w:rPr>
      </w:pPr>
      <w:r>
        <w:rPr>
          <w:rFonts w:hint="eastAsia" w:eastAsia="微软雅黑"/>
          <w:b/>
          <w:bCs/>
          <w:i/>
          <w:iCs/>
        </w:rPr>
        <w:t xml:space="preserve">Proposal 1: </w:t>
      </w:r>
      <w:r>
        <w:rPr>
          <w:rFonts w:hint="eastAsia" w:eastAsia="微软雅黑"/>
          <w:i/>
          <w:iCs/>
        </w:rPr>
        <w:t xml:space="preserve">Regarding MAC CE for activating DL/UL TCI states, </w:t>
      </w:r>
    </w:p>
    <w:p>
      <w:pPr>
        <w:numPr>
          <w:ilvl w:val="0"/>
          <w:numId w:val="12"/>
        </w:numPr>
        <w:overflowPunct w:val="0"/>
        <w:autoSpaceDE w:val="0"/>
        <w:autoSpaceDN w:val="0"/>
        <w:adjustRightInd w:val="0"/>
        <w:spacing w:after="0" w:afterLines="0" w:line="300" w:lineRule="auto"/>
        <w:textAlignment w:val="baseline"/>
        <w:rPr>
          <w:i/>
        </w:rPr>
      </w:pPr>
      <w:r>
        <w:rPr>
          <w:rFonts w:hint="eastAsia"/>
          <w:i/>
        </w:rPr>
        <w:t>When separate DL/UL TCI state is configured, 3 types of codepoint of TCI states, such as DL, UL, combined DL and UL, should be supported in the MAC CE;</w:t>
      </w:r>
    </w:p>
    <w:p>
      <w:pPr>
        <w:numPr>
          <w:ilvl w:val="0"/>
          <w:numId w:val="12"/>
        </w:numPr>
        <w:overflowPunct w:val="0"/>
        <w:autoSpaceDE w:val="0"/>
        <w:autoSpaceDN w:val="0"/>
        <w:adjustRightInd w:val="0"/>
        <w:spacing w:after="0" w:afterLines="0" w:line="300" w:lineRule="auto"/>
        <w:textAlignment w:val="baseline"/>
        <w:rPr>
          <w:i/>
        </w:rPr>
      </w:pPr>
      <w:r>
        <w:rPr>
          <w:rFonts w:hint="eastAsia"/>
          <w:i/>
        </w:rPr>
        <w:t>The TCI state list should be organized in a predefined order of types of codepoint of TCI states in the MAC CE;</w:t>
      </w:r>
    </w:p>
    <w:p>
      <w:pPr>
        <w:numPr>
          <w:ilvl w:val="0"/>
          <w:numId w:val="12"/>
        </w:numPr>
        <w:overflowPunct w:val="0"/>
        <w:autoSpaceDE w:val="0"/>
        <w:autoSpaceDN w:val="0"/>
        <w:adjustRightInd w:val="0"/>
        <w:spacing w:after="0" w:afterLines="0" w:line="300" w:lineRule="auto"/>
        <w:textAlignment w:val="baseline"/>
        <w:rPr>
          <w:i/>
          <w:lang w:bidi="ar"/>
        </w:rPr>
      </w:pPr>
      <w:r>
        <w:rPr>
          <w:rFonts w:hint="eastAsia"/>
          <w:i/>
          <w:lang w:bidi="ar"/>
        </w:rPr>
        <w:t xml:space="preserve">Two independent values or one joint-coded value for numbers of two types </w:t>
      </w:r>
      <w:r>
        <w:rPr>
          <w:rFonts w:hint="eastAsia"/>
          <w:i/>
        </w:rPr>
        <w:t>of codepoint of TCI states should be indicated in the MAC CE.</w:t>
      </w:r>
    </w:p>
    <w:p>
      <w:pPr>
        <w:spacing w:after="0" w:afterLines="0" w:line="300" w:lineRule="auto"/>
        <w:rPr>
          <w:rFonts w:eastAsia="微软雅黑"/>
          <w:b/>
          <w:bCs/>
          <w:i/>
          <w:iCs/>
        </w:rPr>
      </w:pPr>
      <w:r>
        <w:rPr>
          <w:rFonts w:hint="eastAsia" w:eastAsia="微软雅黑"/>
          <w:b/>
          <w:bCs/>
          <w:i/>
          <w:iCs/>
        </w:rPr>
        <w:t xml:space="preserve">Proposal 2: </w:t>
      </w:r>
      <w:r>
        <w:rPr>
          <w:rFonts w:hint="eastAsia" w:eastAsia="微软雅黑"/>
          <w:i/>
          <w:iCs/>
        </w:rPr>
        <w:t>Regarding unified TCI state scheme in mTRP,</w:t>
      </w:r>
    </w:p>
    <w:p>
      <w:pPr>
        <w:numPr>
          <w:ilvl w:val="0"/>
          <w:numId w:val="12"/>
        </w:numPr>
        <w:overflowPunct w:val="0"/>
        <w:autoSpaceDE w:val="0"/>
        <w:autoSpaceDN w:val="0"/>
        <w:adjustRightInd w:val="0"/>
        <w:spacing w:after="0" w:afterLines="0" w:line="300" w:lineRule="auto"/>
        <w:textAlignment w:val="baseline"/>
        <w:rPr>
          <w:i/>
          <w:lang w:bidi="ar"/>
        </w:rPr>
      </w:pPr>
      <w:r>
        <w:rPr>
          <w:rFonts w:hint="eastAsia"/>
          <w:i/>
          <w:lang w:bidi="ar"/>
        </w:rPr>
        <w:t>mTRP requirement should be considered in MAC CE design for activating DL/UL TCI states;</w:t>
      </w:r>
    </w:p>
    <w:p>
      <w:pPr>
        <w:numPr>
          <w:ilvl w:val="0"/>
          <w:numId w:val="12"/>
        </w:numPr>
        <w:overflowPunct w:val="0"/>
        <w:autoSpaceDE w:val="0"/>
        <w:autoSpaceDN w:val="0"/>
        <w:adjustRightInd w:val="0"/>
        <w:spacing w:after="0" w:afterLines="0" w:line="300" w:lineRule="auto"/>
        <w:textAlignment w:val="baseline"/>
        <w:rPr>
          <w:i/>
          <w:lang w:bidi="ar"/>
        </w:rPr>
      </w:pPr>
      <w:r>
        <w:rPr>
          <w:rFonts w:hint="eastAsia"/>
          <w:i/>
          <w:lang w:bidi="ar"/>
        </w:rPr>
        <w:t>Information of presence of additional TCI state for another TRP for same DL/UL in a codepoint should be supported.</w:t>
      </w:r>
    </w:p>
    <w:p>
      <w:pPr>
        <w:spacing w:after="120" w:line="300" w:lineRule="auto"/>
        <w:rPr>
          <w:rFonts w:eastAsia="微软雅黑"/>
          <w:i/>
          <w:iCs/>
        </w:rPr>
      </w:pPr>
      <w:r>
        <w:rPr>
          <w:rFonts w:hint="eastAsia" w:eastAsia="微软雅黑"/>
          <w:b/>
          <w:bCs/>
          <w:i/>
          <w:iCs/>
        </w:rPr>
        <w:t>Proposal 3:</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2"/>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Proposal 4:</w:t>
      </w:r>
      <w:r>
        <w:rPr>
          <w:rFonts w:hint="eastAsia"/>
          <w:i/>
          <w:iCs/>
        </w:rPr>
        <w:t xml:space="preserve"> Regarding power control framework for unified TCI</w:t>
      </w:r>
      <w:r>
        <w:rPr>
          <w:i/>
          <w:iCs/>
        </w:rPr>
        <w:t xml:space="preserve"> for mTRP</w:t>
      </w:r>
      <w:r>
        <w:rPr>
          <w:rFonts w:hint="eastAsia"/>
          <w:i/>
          <w:iCs/>
        </w:rPr>
        <w:t>,</w:t>
      </w:r>
    </w:p>
    <w:p>
      <w:pPr>
        <w:numPr>
          <w:ilvl w:val="0"/>
          <w:numId w:val="12"/>
        </w:numPr>
        <w:overflowPunct w:val="0"/>
        <w:autoSpaceDE w:val="0"/>
        <w:autoSpaceDN w:val="0"/>
        <w:adjustRightInd w:val="0"/>
        <w:spacing w:before="120" w:beforeLines="50" w:after="120" w:afterLines="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overflowPunct w:val="0"/>
        <w:autoSpaceDE w:val="0"/>
        <w:autoSpaceDN w:val="0"/>
        <w:adjustRightInd w:val="0"/>
        <w:spacing w:before="120" w:after="120" w:line="300" w:lineRule="auto"/>
        <w:textAlignment w:val="baseline"/>
        <w:rPr>
          <w:i/>
          <w:iCs/>
        </w:rPr>
      </w:pPr>
      <w:r>
        <w:rPr>
          <w:b/>
          <w:i/>
        </w:rPr>
        <w:t xml:space="preserve">Proposal </w:t>
      </w:r>
      <w:r>
        <w:rPr>
          <w:rFonts w:hint="eastAsia"/>
          <w:b/>
          <w:i/>
        </w:rPr>
        <w:t>5</w:t>
      </w:r>
      <w:r>
        <w:rPr>
          <w:b/>
          <w:i/>
        </w:rPr>
        <w:t>:</w:t>
      </w:r>
      <w:r>
        <w:rPr>
          <w:i/>
        </w:rPr>
        <w:t xml:space="preserve"> </w:t>
      </w:r>
      <w:r>
        <w:rPr>
          <w:rFonts w:hint="eastAsia"/>
          <w:i/>
          <w:iCs/>
        </w:rPr>
        <w:t>For facilitating inter-beam interference measurement, L1-SINR reporting should be supported.</w:t>
      </w:r>
    </w:p>
    <w:p>
      <w:pPr>
        <w:numPr>
          <w:ilvl w:val="0"/>
          <w:numId w:val="17"/>
        </w:numPr>
        <w:spacing w:before="120" w:after="120" w:line="300" w:lineRule="auto"/>
        <w:rPr>
          <w:i/>
          <w:iCs/>
        </w:rPr>
      </w:pPr>
      <w:r>
        <w:rPr>
          <w:rFonts w:hint="eastAsia"/>
          <w:i/>
          <w:iCs/>
        </w:rPr>
        <w:t xml:space="preserve"> The definition of L1-SINR should be enhanced, considering interference among CMR(s) to be reported.</w:t>
      </w:r>
    </w:p>
    <w:p>
      <w:pPr>
        <w:numPr>
          <w:ilvl w:val="0"/>
          <w:numId w:val="17"/>
        </w:numPr>
        <w:spacing w:before="120" w:after="120" w:line="300" w:lineRule="auto"/>
        <w:rPr>
          <w:i/>
          <w:iCs/>
        </w:rPr>
      </w:pPr>
      <w:r>
        <w:rPr>
          <w:rFonts w:hint="eastAsia"/>
          <w:i/>
          <w:iCs/>
        </w:rPr>
        <w:t>The association among CMRs from different TRPs (or called as candidate CMR pairs) should be supported.</w:t>
      </w:r>
    </w:p>
    <w:p>
      <w:pPr>
        <w:numPr>
          <w:ilvl w:val="1"/>
          <w:numId w:val="17"/>
        </w:numPr>
        <w:spacing w:before="120" w:after="120"/>
        <w:rPr>
          <w:i/>
          <w:iCs/>
        </w:rPr>
      </w:pPr>
      <w:r>
        <w:rPr>
          <w:rFonts w:hint="eastAsia"/>
          <w:i/>
        </w:rPr>
        <w:t>Analogous to Rel-16, CMR+ZP-IMR and CMR+NZP-IMR can be supported besides CMR only.</w:t>
      </w:r>
    </w:p>
    <w:p>
      <w:pPr>
        <w:spacing w:after="0" w:afterLines="0" w:line="30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6:</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119"/>
        <w:snapToGrid w:val="0"/>
        <w:spacing w:before="60" w:beforeLines="25" w:after="60" w:afterLines="25" w:line="300" w:lineRule="auto"/>
        <w:ind w:firstLine="0" w:firstLineChars="0"/>
        <w:rPr>
          <w:i/>
        </w:rPr>
      </w:pPr>
      <w:r>
        <w:rPr>
          <w:rFonts w:hint="eastAsia"/>
          <w:b/>
          <w:bCs/>
          <w:i/>
          <w:iCs/>
        </w:rPr>
        <w:t xml:space="preserve">Proposal 7: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8: </w:t>
      </w:r>
      <w:r>
        <w:rPr>
          <w:rFonts w:hint="eastAsia"/>
          <w:i/>
        </w:rPr>
        <w:t>gNB configures neighboring cell information for a</w:t>
      </w:r>
      <w:r>
        <w:rPr>
          <w:i/>
        </w:rPr>
        <w:t>n</w:t>
      </w:r>
      <w:r>
        <w:rPr>
          <w:rFonts w:hint="eastAsia"/>
          <w:i/>
        </w:rPr>
        <w:t xml:space="preserve"> L1 reporting using MAC-CE.</w:t>
      </w:r>
    </w:p>
    <w:p>
      <w:pPr>
        <w:pStyle w:val="119"/>
        <w:snapToGrid w:val="0"/>
        <w:spacing w:before="60" w:beforeLines="25" w:after="60" w:afterLines="25" w:line="300" w:lineRule="auto"/>
        <w:ind w:firstLine="0" w:firstLineChars="0"/>
        <w:rPr>
          <w:b/>
          <w:bCs/>
          <w:i/>
          <w:iCs/>
        </w:rPr>
      </w:pPr>
      <w:r>
        <w:rPr>
          <w:rFonts w:hint="eastAsia"/>
          <w:b/>
          <w:bCs/>
          <w:i/>
          <w:iCs/>
        </w:rPr>
        <w:t>Proposal 9:</w:t>
      </w:r>
      <w:r>
        <w:rPr>
          <w:b/>
          <w:bCs/>
          <w:i/>
          <w:iCs/>
        </w:rPr>
        <w:t xml:space="preserve"> </w:t>
      </w:r>
      <w:r>
        <w:rPr>
          <w:i/>
        </w:rPr>
        <w:t xml:space="preserve">The UE can be configured with multiple sets of PRACH configurations, each of </w:t>
      </w:r>
      <w:r>
        <w:rPr>
          <w:rFonts w:hint="eastAsia"/>
          <w:i/>
        </w:rPr>
        <w:t>which</w:t>
      </w:r>
      <w:r>
        <w:rPr>
          <w:i/>
        </w:rPr>
        <w:t xml:space="preserve"> corresponds to one PCI</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10: </w:t>
      </w:r>
      <w:r>
        <w:rPr>
          <w:i/>
        </w:rPr>
        <w:t xml:space="preserve">The DCI triggering PRACH should includes PCI, then the UE get the PRACH resources according to a set of PRACH configuration corresponding to the PCI. </w:t>
      </w:r>
    </w:p>
    <w:p>
      <w:pPr>
        <w:pStyle w:val="119"/>
        <w:snapToGrid w:val="0"/>
        <w:spacing w:before="60" w:beforeLines="25" w:after="60" w:afterLines="25" w:line="300" w:lineRule="auto"/>
        <w:ind w:firstLine="0" w:firstLineChars="0"/>
        <w:rPr>
          <w:i/>
        </w:rPr>
      </w:pPr>
      <w:r>
        <w:rPr>
          <w:rFonts w:hint="eastAsia"/>
          <w:b/>
          <w:bCs/>
          <w:i/>
          <w:iCs/>
        </w:rPr>
        <w:t>Proposal 11:</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119"/>
        <w:snapToGrid w:val="0"/>
        <w:spacing w:before="60" w:beforeLines="25" w:after="60" w:afterLines="25" w:line="300" w:lineRule="auto"/>
        <w:ind w:firstLine="0" w:firstLineChars="0"/>
        <w:rPr>
          <w:bCs/>
          <w:i/>
        </w:rPr>
      </w:pPr>
      <w:r>
        <w:rPr>
          <w:b/>
          <w:i/>
        </w:rPr>
        <w:t xml:space="preserve">Proposal </w:t>
      </w:r>
      <w:r>
        <w:rPr>
          <w:rFonts w:hint="eastAsia"/>
          <w:b/>
          <w:i/>
        </w:rPr>
        <w:t>12</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BFD-RS set index is in the separate BFR MAC-CE and two serving cell indication bitmaps each of which corresponds to a BFD-RS set index are in a joint BFR MAC-CE. </w:t>
      </w:r>
    </w:p>
    <w:p>
      <w:pPr>
        <w:numPr>
          <w:ilvl w:val="0"/>
          <w:numId w:val="12"/>
        </w:numPr>
        <w:overflowPunct w:val="0"/>
        <w:autoSpaceDE w:val="0"/>
        <w:autoSpaceDN w:val="0"/>
        <w:adjustRightInd w:val="0"/>
        <w:snapToGrid w:val="0"/>
        <w:spacing w:before="60" w:beforeLines="25" w:after="0" w:afterLines="0" w:line="300" w:lineRule="auto"/>
        <w:ind w:firstLine="0"/>
        <w:textAlignment w:val="baseline"/>
        <w:rPr>
          <w:i/>
        </w:rPr>
      </w:pPr>
      <w:r>
        <w:rPr>
          <w:rFonts w:hint="eastAsia"/>
          <w:i/>
        </w:rPr>
        <w:t>When no TRP of SpCell fails, separate BFR MAC-CE</w:t>
      </w:r>
      <w:r>
        <w:rPr>
          <w:i/>
        </w:rPr>
        <w:t xml:space="preserve"> is applied;</w:t>
      </w:r>
      <w:r>
        <w:rPr>
          <w:rFonts w:hint="eastAsia"/>
          <w:i/>
        </w:rPr>
        <w:t xml:space="preserve"> </w:t>
      </w:r>
      <w:r>
        <w:rPr>
          <w:i/>
        </w:rPr>
        <w:t xml:space="preserve">otherwise, </w:t>
      </w:r>
      <w:r>
        <w:rPr>
          <w:rFonts w:hint="eastAsia"/>
          <w:i/>
        </w:rPr>
        <w:t>joint BFR MAC-CE</w:t>
      </w:r>
      <w:r>
        <w:rPr>
          <w:i/>
        </w:rPr>
        <w:t xml:space="preserve"> is applied</w:t>
      </w:r>
      <w:r>
        <w:rPr>
          <w:rFonts w:hint="eastAsia"/>
          <w:i/>
        </w:rPr>
        <w:t xml:space="preserve">. </w:t>
      </w:r>
    </w:p>
    <w:p>
      <w:pPr>
        <w:pStyle w:val="119"/>
        <w:snapToGrid w:val="0"/>
        <w:spacing w:before="60" w:beforeLines="25" w:after="60" w:afterLines="25" w:line="300" w:lineRule="auto"/>
        <w:ind w:firstLine="0" w:firstLineChars="0"/>
        <w:rPr>
          <w:b/>
          <w:i/>
        </w:rPr>
      </w:pPr>
      <w:r>
        <w:rPr>
          <w:b/>
          <w:i/>
        </w:rPr>
        <w:t xml:space="preserve">Proposal </w:t>
      </w:r>
      <w:r>
        <w:rPr>
          <w:rFonts w:hint="eastAsia"/>
          <w:b/>
          <w:i/>
        </w:rPr>
        <w:t>13</w:t>
      </w:r>
      <w:r>
        <w:rPr>
          <w:rFonts w:hint="eastAsia"/>
          <w:bCs/>
          <w:i/>
        </w:rPr>
        <w:t xml:space="preserve">: A joint BFR MAC-CE includes up to two bits indicating beam failure are detected for two TRPs of SP. It contains up to one octet includes AC, BFD-RS set and candidate RS set for SpCell; </w:t>
      </w:r>
    </w:p>
    <w:p>
      <w:pPr>
        <w:pStyle w:val="119"/>
        <w:snapToGrid w:val="0"/>
        <w:spacing w:before="60" w:beforeLines="25" w:after="60" w:afterLines="25" w:line="300" w:lineRule="auto"/>
        <w:ind w:firstLine="0" w:firstLineChars="0"/>
        <w:rPr>
          <w:bCs/>
          <w:i/>
        </w:rPr>
      </w:pPr>
      <w:r>
        <w:rPr>
          <w:rFonts w:hint="eastAsia"/>
          <w:b/>
          <w:i/>
        </w:rPr>
        <w:t xml:space="preserve"> </w:t>
      </w:r>
      <w:r>
        <w:rPr>
          <w:b/>
          <w:i/>
        </w:rPr>
        <w:t xml:space="preserve">Proposal </w:t>
      </w:r>
      <w:r>
        <w:rPr>
          <w:rFonts w:hint="eastAsia"/>
          <w:b/>
          <w:i/>
        </w:rPr>
        <w:t>14</w:t>
      </w:r>
      <w:r>
        <w:rPr>
          <w:b/>
          <w:i/>
        </w:rPr>
        <w:t>:</w:t>
      </w:r>
      <w:r>
        <w:rPr>
          <w:rFonts w:hint="eastAsia"/>
          <w:b/>
          <w:i/>
        </w:rPr>
        <w:t xml:space="preserve"> </w:t>
      </w:r>
      <w:r>
        <w:rPr>
          <w:rFonts w:hint="eastAsia"/>
          <w:bCs/>
          <w:i/>
        </w:rPr>
        <w:t xml:space="preserve">The bitmaps of serving cell indication of different BFD-RS sets correspond to different serving cell sets. </w:t>
      </w:r>
    </w:p>
    <w:p>
      <w:pPr>
        <w:numPr>
          <w:ilvl w:val="0"/>
          <w:numId w:val="17"/>
        </w:numPr>
        <w:spacing w:before="120" w:after="120" w:line="300" w:lineRule="auto"/>
        <w:rPr>
          <w:i/>
          <w:iCs/>
        </w:rPr>
      </w:pPr>
      <w:r>
        <w:rPr>
          <w:rFonts w:hint="eastAsia"/>
          <w:i/>
          <w:iCs/>
        </w:rPr>
        <w:t xml:space="preserve"> </w:t>
      </w:r>
      <w:r>
        <w:rPr>
          <w:rFonts w:hint="eastAsia"/>
          <w:i/>
        </w:rPr>
        <w:t>A serving cell set associated with one BFD-RS set includes serving cell configured BFD parameter associated with the one BFD-RS set</w:t>
      </w:r>
      <w:r>
        <w:rPr>
          <w:rFonts w:hint="eastAsia"/>
          <w:i/>
          <w:iCs/>
        </w:rPr>
        <w:t>.</w:t>
      </w:r>
    </w:p>
    <w:p>
      <w:pPr>
        <w:pStyle w:val="119"/>
        <w:snapToGrid w:val="0"/>
        <w:spacing w:before="60" w:beforeLines="25" w:after="60" w:afterLines="25" w:line="300" w:lineRule="auto"/>
        <w:ind w:firstLine="0" w:firstLineChars="0"/>
        <w:rPr>
          <w:i/>
        </w:rPr>
      </w:pPr>
      <w:r>
        <w:rPr>
          <w:rFonts w:hint="eastAsia"/>
          <w:b/>
          <w:bCs/>
          <w:i/>
          <w:iCs/>
        </w:rPr>
        <w:t xml:space="preserve">Proposal 15: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 xml:space="preserve">. </w:t>
      </w:r>
    </w:p>
    <w:p>
      <w:pPr>
        <w:snapToGrid w:val="0"/>
        <w:spacing w:before="60" w:beforeLines="25" w:after="60" w:afterLines="25" w:line="300" w:lineRule="auto"/>
        <w:rPr>
          <w:bCs/>
          <w:i/>
        </w:rPr>
      </w:pPr>
    </w:p>
    <w:p>
      <w:pPr>
        <w:pStyle w:val="2"/>
        <w:tabs>
          <w:tab w:val="clear" w:pos="432"/>
        </w:tabs>
        <w:snapToGrid w:val="0"/>
        <w:spacing w:before="120" w:beforeLines="50" w:after="120"/>
        <w:rPr>
          <w:sz w:val="28"/>
          <w:lang w:val="en-US"/>
        </w:rPr>
      </w:pPr>
      <w:r>
        <w:rPr>
          <w:rFonts w:hint="eastAsia"/>
          <w:sz w:val="28"/>
          <w:lang w:val="en-US"/>
        </w:rPr>
        <w:t>References</w:t>
      </w:r>
    </w:p>
    <w:p>
      <w:pPr>
        <w:pStyle w:val="118"/>
        <w:spacing w:after="120"/>
      </w:pPr>
      <w:r>
        <w:rPr>
          <w:bCs/>
          <w:sz w:val="20"/>
          <w:szCs w:val="22"/>
        </w:rPr>
        <w:t>R1-2110949,</w:t>
      </w:r>
      <w:r>
        <w:rPr>
          <w:rFonts w:hint="eastAsia"/>
        </w:rPr>
        <w:t xml:space="preserve"> Multi-TRP enhancements for PDCCH, PUCCH and PUSCH, ZTE</w:t>
      </w:r>
    </w:p>
    <w:p>
      <w:pPr>
        <w:pStyle w:val="118"/>
        <w:spacing w:after="120"/>
      </w:pPr>
      <w:r>
        <w:rPr>
          <w:bCs/>
          <w:sz w:val="20"/>
          <w:szCs w:val="22"/>
        </w:rPr>
        <w:t>R1-2110951</w:t>
      </w:r>
      <w:r>
        <w:t xml:space="preserve">, </w:t>
      </w:r>
      <w:r>
        <w:rPr>
          <w:rFonts w:hint="eastAsia"/>
        </w:rPr>
        <w:t xml:space="preserve">Enhancements on beam management for multi-TRP </w:t>
      </w:r>
      <w:r>
        <w:t>o</w:t>
      </w:r>
      <w:r>
        <w:rPr>
          <w:rFonts w:hint="eastAsia"/>
        </w:rPr>
        <w:t>peration</w:t>
      </w:r>
      <w:r>
        <w:t>, ZTE</w:t>
      </w:r>
    </w:p>
    <w:p>
      <w:pPr>
        <w:pStyle w:val="2"/>
        <w:tabs>
          <w:tab w:val="clear" w:pos="432"/>
        </w:tabs>
        <w:snapToGrid w:val="0"/>
        <w:spacing w:before="120" w:beforeLines="50" w:after="120"/>
        <w:rPr>
          <w:sz w:val="28"/>
          <w:szCs w:val="32"/>
          <w:lang w:val="en-US"/>
        </w:rPr>
      </w:pPr>
      <w:r>
        <w:rPr>
          <w:sz w:val="28"/>
          <w:szCs w:val="32"/>
          <w:lang w:val="en-US"/>
        </w:rPr>
        <w:t>Appendix</w:t>
      </w:r>
    </w:p>
    <w:p>
      <w:pPr>
        <w:pStyle w:val="42"/>
        <w:spacing w:after="120"/>
        <w:rPr>
          <w:rFonts w:ascii="Times New Roman" w:hAnsi="Times New Roman"/>
          <w:lang w:eastAsia="zh-CN"/>
        </w:rPr>
      </w:pPr>
      <w:r>
        <w:rPr>
          <w:rFonts w:ascii="Times New Roman" w:hAnsi="Times New Roman"/>
        </w:rPr>
        <w:t xml:space="preserve">Table 5 </w:t>
      </w:r>
      <w:r>
        <w:rPr>
          <w:rFonts w:ascii="Times New Roman" w:hAnsi="Times New Roman"/>
          <w:b w:val="0"/>
          <w:lang w:eastAsia="ja-JP"/>
        </w:rPr>
        <w:t xml:space="preserve">Simulation assumptions for link-level </w:t>
      </w:r>
      <w:r>
        <w:rPr>
          <w:rFonts w:hint="eastAsia" w:ascii="Times New Roman" w:hAnsi="Times New Roman"/>
          <w:b w:val="0"/>
          <w:lang w:eastAsia="zh-CN"/>
        </w:rPr>
        <w:t>simulation</w:t>
      </w:r>
    </w:p>
    <w:tbl>
      <w:tblPr>
        <w:tblStyle w:val="25"/>
        <w:tblW w:w="9451" w:type="dxa"/>
        <w:tblInd w:w="0" w:type="dxa"/>
        <w:tblLayout w:type="autofit"/>
        <w:tblCellMar>
          <w:top w:w="0" w:type="dxa"/>
          <w:left w:w="0" w:type="dxa"/>
          <w:bottom w:w="0" w:type="dxa"/>
          <w:right w:w="0" w:type="dxa"/>
        </w:tblCellMar>
      </w:tblPr>
      <w:tblGrid>
        <w:gridCol w:w="2223"/>
        <w:gridCol w:w="7228"/>
      </w:tblGrid>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line="240" w:lineRule="auto"/>
              <w:rPr>
                <w:rFonts w:ascii="Arial" w:hAnsi="Arial" w:cs="Arial"/>
                <w:sz w:val="18"/>
                <w:szCs w:val="18"/>
                <w:lang w:eastAsia="ja-JP"/>
              </w:rPr>
            </w:pPr>
            <w:r>
              <w:rPr>
                <w:rFonts w:ascii="Arial" w:hAnsi="Arial" w:cs="Arial"/>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bCs/>
                <w:sz w:val="18"/>
                <w:szCs w:val="18"/>
                <w:lang w:eastAsia="ja-JP"/>
              </w:rPr>
              <w:t>Values or assumptions</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sz w:val="18"/>
                <w:szCs w:val="18"/>
                <w:lang w:eastAsia="ja-JP"/>
              </w:rPr>
            </w:pPr>
            <w:r>
              <w:rPr>
                <w:rFonts w:ascii="Arial" w:hAnsi="Arial" w:cs="Arial"/>
                <w:sz w:val="18"/>
                <w:szCs w:val="18"/>
                <w:lang w:eastAsia="ja-JP"/>
              </w:rPr>
              <w:t>30 GHz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rPr>
            </w:pPr>
            <w:r>
              <w:rPr>
                <w:rFonts w:hint="eastAsia" w:ascii="Arial" w:hAnsi="Arial" w:cs="Arial"/>
                <w:b/>
                <w:sz w:val="18"/>
                <w:szCs w:val="18"/>
              </w:rPr>
              <w:t>S</w:t>
            </w:r>
            <w:r>
              <w:rPr>
                <w:rFonts w:ascii="Arial" w:hAnsi="Arial" w:cs="Arial"/>
                <w:b/>
                <w:sz w:val="18"/>
                <w:szCs w:val="18"/>
              </w:rPr>
              <w:t xml:space="preserve">ubcarrier </w:t>
            </w:r>
            <w:r>
              <w:rPr>
                <w:rFonts w:hint="eastAsia" w:ascii="Arial" w:hAnsi="Arial" w:cs="Arial"/>
                <w:b/>
                <w:sz w:val="18"/>
                <w:szCs w:val="18"/>
              </w:rPr>
              <w:t>S</w:t>
            </w:r>
            <w:r>
              <w:rPr>
                <w:rFonts w:ascii="Arial" w:hAnsi="Arial" w:cs="Arial"/>
                <w:b/>
                <w:sz w:val="18"/>
                <w:szCs w:val="18"/>
              </w:rPr>
              <w:t>pacing</w:t>
            </w:r>
          </w:p>
        </w:tc>
        <w:tc>
          <w:tcPr>
            <w:tcW w:w="72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sz w:val="18"/>
                <w:szCs w:val="18"/>
                <w:lang w:eastAsia="ja-JP"/>
              </w:rPr>
            </w:pPr>
            <w:r>
              <w:rPr>
                <w:rFonts w:ascii="Arial" w:hAnsi="Arial" w:cs="Arial"/>
                <w:sz w:val="18"/>
                <w:szCs w:val="18"/>
                <w:lang w:eastAsia="ja-JP"/>
              </w:rPr>
              <w:t xml:space="preserve">120 </w:t>
            </w:r>
            <w:r>
              <w:rPr>
                <w:rFonts w:hint="eastAsia" w:ascii="Arial" w:hAnsi="Arial" w:cs="Arial"/>
                <w:sz w:val="18"/>
                <w:szCs w:val="18"/>
              </w:rPr>
              <w:t>k</w:t>
            </w:r>
            <w:r>
              <w:rPr>
                <w:rFonts w:ascii="Arial" w:hAnsi="Arial" w:cs="Arial"/>
                <w:sz w:val="18"/>
                <w:szCs w:val="18"/>
                <w:lang w:eastAsia="ja-JP"/>
              </w:rPr>
              <w:t>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rPr>
            </w:pPr>
            <w:r>
              <w:rPr>
                <w:rFonts w:hint="eastAsia" w:ascii="Arial" w:hAnsi="Arial" w:cs="Arial"/>
                <w:b/>
                <w:sz w:val="18"/>
                <w:szCs w:val="18"/>
              </w:rPr>
              <w:t>Transmission SNR</w:t>
            </w:r>
          </w:p>
        </w:tc>
        <w:tc>
          <w:tcPr>
            <w:tcW w:w="72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sz w:val="18"/>
                <w:szCs w:val="18"/>
              </w:rPr>
            </w:pPr>
            <w:r>
              <w:rPr>
                <w:rFonts w:hint="eastAsia" w:ascii="Arial" w:hAnsi="Arial" w:cs="Arial"/>
                <w:sz w:val="18"/>
                <w:szCs w:val="18"/>
              </w:rPr>
              <w:t>10 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color="000000" w:sz="8" w:space="0"/>
              <w:left w:val="single" w:color="000000" w:sz="8" w:space="0"/>
              <w:bottom w:val="single" w:color="auto" w:sz="4" w:space="0"/>
              <w:right w:val="single" w:color="000000" w:sz="8" w:space="0"/>
            </w:tcBorders>
            <w:shd w:val="clear" w:color="auto" w:fill="auto"/>
            <w:tcMar>
              <w:top w:w="15" w:type="dxa"/>
              <w:left w:w="107" w:type="dxa"/>
              <w:bottom w:w="0" w:type="dxa"/>
              <w:right w:w="107" w:type="dxa"/>
            </w:tcMar>
          </w:tcPr>
          <w:p>
            <w:pPr>
              <w:spacing w:after="120" w:line="240" w:lineRule="auto"/>
              <w:rPr>
                <w:rFonts w:ascii="Arial" w:hAnsi="Arial" w:cs="Arial"/>
                <w:sz w:val="18"/>
                <w:szCs w:val="18"/>
              </w:rPr>
            </w:pPr>
            <w:r>
              <w:rPr>
                <w:rFonts w:ascii="Arial" w:hAnsi="Arial" w:cs="Arial"/>
                <w:sz w:val="18"/>
                <w:szCs w:val="18"/>
                <w:lang w:eastAsia="ja-JP"/>
              </w:rPr>
              <w:t xml:space="preserve">CDL-A </w:t>
            </w:r>
            <w:r>
              <w:rPr>
                <w:rFonts w:hint="eastAsia" w:ascii="Arial" w:hAnsi="Arial" w:cs="Arial"/>
                <w:sz w:val="18"/>
                <w:szCs w:val="18"/>
              </w:rPr>
              <w:t>model</w:t>
            </w:r>
          </w:p>
          <w:p>
            <w:pPr>
              <w:numPr>
                <w:ilvl w:val="0"/>
                <w:numId w:val="21"/>
              </w:numPr>
              <w:spacing w:after="120" w:line="240" w:lineRule="auto"/>
              <w:rPr>
                <w:rFonts w:ascii="Arial" w:hAnsi="Arial" w:cs="Arial"/>
                <w:sz w:val="18"/>
                <w:szCs w:val="18"/>
                <w:lang w:eastAsia="ja-JP"/>
              </w:rPr>
            </w:pPr>
            <w:r>
              <w:rPr>
                <w:rFonts w:ascii="Arial" w:hAnsi="Arial" w:cs="Arial"/>
                <w:sz w:val="18"/>
                <w:szCs w:val="18"/>
                <w:lang w:eastAsia="ja-JP"/>
              </w:rPr>
              <w:t>delay spread =100ns</w:t>
            </w:r>
          </w:p>
          <w:p>
            <w:pPr>
              <w:numPr>
                <w:ilvl w:val="0"/>
                <w:numId w:val="21"/>
              </w:numPr>
              <w:spacing w:after="120" w:line="240" w:lineRule="auto"/>
              <w:rPr>
                <w:rFonts w:ascii="Arial" w:hAnsi="Arial" w:cs="Arial"/>
                <w:sz w:val="18"/>
                <w:szCs w:val="18"/>
                <w:lang w:eastAsia="ja-JP"/>
              </w:rPr>
            </w:pPr>
            <w:r>
              <w:rPr>
                <w:rFonts w:ascii="Arial" w:hAnsi="Arial" w:cs="Arial"/>
                <w:sz w:val="18"/>
                <w:szCs w:val="18"/>
                <w:lang w:eastAsia="ja-JP"/>
              </w:rPr>
              <w:t xml:space="preserve">UE speed=3km/h.  </w:t>
            </w:r>
          </w:p>
          <w:p>
            <w:pPr>
              <w:numPr>
                <w:ilvl w:val="0"/>
                <w:numId w:val="21"/>
              </w:numPr>
              <w:spacing w:after="120" w:line="240" w:lineRule="auto"/>
              <w:rPr>
                <w:rFonts w:ascii="Arial" w:hAnsi="Arial" w:cs="Arial"/>
                <w:sz w:val="18"/>
                <w:szCs w:val="18"/>
                <w:lang w:eastAsia="ja-JP"/>
              </w:rPr>
            </w:pPr>
            <w:r>
              <w:rPr>
                <w:rFonts w:hint="eastAsia" w:ascii="Arial" w:hAnsi="Arial" w:cs="Arial"/>
                <w:sz w:val="18"/>
                <w:szCs w:val="18"/>
                <w:lang w:eastAsia="ja-JP"/>
              </w:rPr>
              <w:t>T</w:t>
            </w:r>
            <w:r>
              <w:rPr>
                <w:rFonts w:ascii="Arial" w:hAnsi="Arial" w:cs="Arial"/>
                <w:sz w:val="18"/>
                <w:szCs w:val="18"/>
                <w:lang w:eastAsia="ja-JP"/>
              </w:rPr>
              <w:t xml:space="preserve">he angle </w:t>
            </w:r>
            <w:r>
              <w:rPr>
                <w:rFonts w:hint="eastAsia" w:ascii="Arial" w:hAnsi="Arial" w:cs="Arial"/>
                <w:sz w:val="18"/>
                <w:szCs w:val="18"/>
                <w:lang w:eastAsia="ja-JP"/>
              </w:rPr>
              <w:t xml:space="preserve">of BS, i.e., AoD, </w:t>
            </w:r>
            <w:r>
              <w:rPr>
                <w:rFonts w:ascii="Arial" w:hAnsi="Arial" w:cs="Arial"/>
                <w:sz w:val="18"/>
                <w:szCs w:val="18"/>
                <w:lang w:eastAsia="ja-JP"/>
              </w:rPr>
              <w:t xml:space="preserve">are uniformly distributed within </w:t>
            </w:r>
            <w:r>
              <w:rPr>
                <w:rFonts w:hint="eastAsia" w:ascii="Arial" w:hAnsi="Arial" w:cs="Arial"/>
                <w:sz w:val="18"/>
                <w:szCs w:val="18"/>
                <w:lang w:eastAsia="ja-JP"/>
              </w:rPr>
              <w:t>[-6</w:t>
            </w:r>
            <w:r>
              <w:rPr>
                <w:rFonts w:ascii="Arial" w:hAnsi="Arial" w:cs="Arial"/>
                <w:sz w:val="18"/>
                <w:szCs w:val="18"/>
                <w:lang w:eastAsia="ja-JP"/>
              </w:rPr>
              <w:t>0</w:t>
            </w:r>
            <w:r>
              <w:rPr>
                <w:rFonts w:hint="eastAsia" w:ascii="Arial" w:hAnsi="Arial" w:cs="Arial"/>
                <w:sz w:val="18"/>
                <w:szCs w:val="18"/>
                <w:lang w:eastAsia="ja-JP"/>
              </w:rPr>
              <w:t xml:space="preserve">, </w:t>
            </w:r>
            <w:r>
              <w:rPr>
                <w:rFonts w:ascii="Arial" w:hAnsi="Arial" w:cs="Arial"/>
                <w:sz w:val="18"/>
                <w:szCs w:val="18"/>
                <w:lang w:eastAsia="ja-JP"/>
              </w:rPr>
              <w:t>60</w:t>
            </w:r>
            <w:r>
              <w:rPr>
                <w:rFonts w:hint="eastAsia" w:ascii="Arial" w:hAnsi="Arial" w:cs="Arial"/>
                <w:sz w:val="18"/>
                <w:szCs w:val="18"/>
                <w:lang w:eastAsia="ja-JP"/>
              </w:rPr>
              <w:t>]</w:t>
            </w:r>
            <w:r>
              <w:rPr>
                <w:rFonts w:ascii="Arial" w:hAnsi="Arial" w:cs="Arial"/>
                <w:sz w:val="18"/>
                <w:szCs w:val="18"/>
                <w:lang w:eastAsia="ja-JP"/>
              </w:rPr>
              <w:t xml:space="preserve"> degrees</w:t>
            </w:r>
            <w:r>
              <w:rPr>
                <w:rFonts w:hint="eastAsia" w:ascii="Arial" w:hAnsi="Arial" w:cs="Arial"/>
                <w:sz w:val="18"/>
                <w:szCs w:val="18"/>
                <w:lang w:eastAsia="ja-JP"/>
              </w:rPr>
              <w:t xml:space="preserve"> </w:t>
            </w:r>
            <w:r>
              <w:rPr>
                <w:rFonts w:ascii="Arial" w:hAnsi="Arial" w:cs="Arial"/>
                <w:sz w:val="18"/>
                <w:szCs w:val="18"/>
                <w:lang w:eastAsia="ja-JP"/>
              </w:rPr>
              <w:t>in azimuth domain</w:t>
            </w:r>
            <w:r>
              <w:rPr>
                <w:rFonts w:hint="eastAsia" w:ascii="Arial" w:hAnsi="Arial" w:cs="Arial"/>
                <w:sz w:val="18"/>
                <w:szCs w:val="18"/>
                <w:lang w:eastAsia="ja-JP"/>
              </w:rPr>
              <w:t xml:space="preserve">, and </w:t>
            </w:r>
            <w:r>
              <w:rPr>
                <w:rFonts w:hint="eastAsia" w:ascii="Arial" w:hAnsi="Arial" w:cs="Arial"/>
                <w:sz w:val="18"/>
                <w:szCs w:val="18"/>
              </w:rPr>
              <w:t>that</w:t>
            </w:r>
            <w:r>
              <w:rPr>
                <w:rFonts w:hint="eastAsia" w:ascii="Arial" w:hAnsi="Arial" w:cs="Arial"/>
                <w:sz w:val="18"/>
                <w:szCs w:val="18"/>
                <w:lang w:eastAsia="ja-JP"/>
              </w:rPr>
              <w:t xml:space="preserve"> of UE, i.e., AoA, are uniformly distributed within [-180, 180] degrees in azimuth domain,</w:t>
            </w:r>
            <w:r>
              <w:rPr>
                <w:rFonts w:ascii="Arial" w:hAnsi="Arial" w:cs="Arial"/>
                <w:sz w:val="18"/>
                <w:szCs w:val="18"/>
                <w:lang w:eastAsia="ja-JP"/>
              </w:rPr>
              <w:t xml:space="preserve"> via applying uniform-distribution desired mean angle in Section 7.7.5.1 in TR 38.900 accordingly.</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rFonts w:ascii="Arial" w:hAnsi="Arial" w:cs="Arial"/>
                <w:sz w:val="18"/>
                <w:szCs w:val="18"/>
                <w:lang w:eastAsia="ja-JP"/>
              </w:rPr>
            </w:pPr>
            <w:r>
              <w:rPr>
                <w:rFonts w:hint="eastAsia" w:ascii="Arial" w:hAnsi="Arial" w:cs="Arial"/>
                <w:sz w:val="18"/>
                <w:szCs w:val="18"/>
              </w:rPr>
              <w:t xml:space="preserve">One </w:t>
            </w:r>
            <w:r>
              <w:rPr>
                <w:rFonts w:ascii="Arial" w:hAnsi="Arial" w:cs="Arial"/>
                <w:sz w:val="18"/>
                <w:szCs w:val="18"/>
                <w:lang w:eastAsia="ja-JP"/>
              </w:rPr>
              <w:t>TXRU per panel per polarization</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rFonts w:ascii="Arial" w:hAnsi="Arial" w:cs="Arial"/>
                <w:sz w:val="18"/>
                <w:szCs w:val="18"/>
                <w:lang w:eastAsia="ja-JP"/>
              </w:rPr>
            </w:pPr>
            <w:r>
              <w:rPr>
                <w:rFonts w:ascii="Arial" w:hAnsi="Arial" w:cs="Arial"/>
                <w:sz w:val="18"/>
                <w:szCs w:val="18"/>
                <w:lang w:eastAsia="ja-JP"/>
              </w:rPr>
              <w:t xml:space="preserve">2D TXRU virtualization weights </w:t>
            </w:r>
            <w:r>
              <w:rPr>
                <w:rFonts w:hint="eastAsia" w:ascii="Arial" w:hAnsi="Arial" w:cs="Arial"/>
                <w:sz w:val="18"/>
                <w:szCs w:val="18"/>
                <w:lang w:eastAsia="ja-JP"/>
              </w:rPr>
              <w:t xml:space="preserve">for each panel is the </w:t>
            </w:r>
            <w:r>
              <w:rPr>
                <w:rFonts w:ascii="Arial" w:hAnsi="Arial" w:cs="Arial"/>
                <w:sz w:val="18"/>
                <w:szCs w:val="18"/>
                <w:lang w:eastAsia="ja-JP"/>
              </w:rPr>
              <w:t>Kronecker product between vertical and horizontal weight vectors</w:t>
            </w:r>
            <w:r>
              <w:rPr>
                <w:rFonts w:hint="eastAsia" w:ascii="Arial" w:hAnsi="Arial" w:cs="Arial"/>
                <w:sz w:val="18"/>
                <w:szCs w:val="18"/>
                <w:lang w:eastAsia="ja-JP"/>
              </w:rPr>
              <w:t xml:space="preserve"> </w:t>
            </w:r>
            <w:r>
              <w:rPr>
                <w:rFonts w:ascii="Arial" w:hAnsi="Arial" w:cs="Arial"/>
                <w:sz w:val="18"/>
                <w:szCs w:val="18"/>
                <w:lang w:eastAsia="ja-JP"/>
              </w:rPr>
              <w:t>taken from DFT</w:t>
            </w:r>
            <w:r>
              <w:rPr>
                <w:rFonts w:hint="eastAsia" w:ascii="Arial" w:hAnsi="Arial" w:cs="Arial"/>
                <w:sz w:val="18"/>
                <w:szCs w:val="18"/>
                <w:lang w:eastAsia="ja-JP"/>
              </w:rPr>
              <w:t>, i.e., 2D sub-array</w:t>
            </w:r>
            <w:r>
              <w:rPr>
                <w:rFonts w:ascii="Arial" w:hAnsi="Arial" w:cs="Arial"/>
                <w:sz w:val="18"/>
                <w:szCs w:val="18"/>
                <w:lang w:eastAsia="ja-JP"/>
              </w:rPr>
              <w:t xml:space="preserve"> partition model defined in TR36.897.</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BS antenna configurations</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rFonts w:ascii="Arial" w:hAnsi="Arial" w:cs="Arial"/>
                <w:sz w:val="18"/>
                <w:szCs w:val="18"/>
                <w:lang w:eastAsia="ja-JP"/>
              </w:rPr>
            </w:pPr>
            <w:r>
              <w:rPr>
                <w:rFonts w:eastAsia="Malgun Gothic"/>
                <w:kern w:val="24"/>
                <w:lang w:val="sv-SE"/>
              </w:rPr>
              <w:t>(M,N,P,Mg,Ng) = (4,8,2,2,2).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(2.0, 4.0)</w:t>
            </w:r>
            <w:r>
              <w:rPr>
                <w:rFonts w:eastAsia="Malgun Gothic"/>
                <w:kern w:val="24"/>
              </w:rPr>
              <w:t>λ</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 xml:space="preserve">BS antenna </w:t>
            </w:r>
            <w:r>
              <w:rPr>
                <w:rFonts w:hint="eastAsia" w:ascii="Arial" w:hAnsi="Arial" w:cs="Arial"/>
                <w:b/>
                <w:sz w:val="18"/>
                <w:szCs w:val="18"/>
                <w:lang w:eastAsia="ja-JP"/>
              </w:rPr>
              <w:t xml:space="preserve">element </w:t>
            </w:r>
            <w:r>
              <w:rPr>
                <w:rFonts w:ascii="Arial" w:hAnsi="Arial" w:cs="Arial"/>
                <w:b/>
                <w:sz w:val="18"/>
                <w:szCs w:val="18"/>
                <w:lang w:eastAsia="ja-JP"/>
              </w:rPr>
              <w:t>radiation pattern</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kern w:val="24"/>
                <w:lang w:val="sv-SE"/>
              </w:rPr>
            </w:pPr>
            <w:r>
              <w:rPr>
                <w:rFonts w:hint="eastAsia" w:ascii="Arial" w:hAnsi="Arial" w:eastAsia="Arial Unicode MS" w:cs="Arial"/>
                <w:kern w:val="2"/>
                <w:sz w:val="18"/>
                <w:szCs w:val="18"/>
              </w:rPr>
              <w:t xml:space="preserve">See </w:t>
            </w:r>
            <w:r>
              <w:rPr>
                <w:rFonts w:ascii="Arial" w:hAnsi="Arial" w:eastAsia="Arial Unicode MS" w:cs="Arial"/>
                <w:kern w:val="2"/>
                <w:sz w:val="18"/>
                <w:szCs w:val="18"/>
              </w:rPr>
              <w:t>Table A.2.1-6</w:t>
            </w:r>
            <w:r>
              <w:rPr>
                <w:rFonts w:hint="eastAsia" w:ascii="Arial" w:hAnsi="Arial" w:eastAsia="Arial Unicode MS" w:cs="Arial"/>
                <w:kern w:val="2"/>
                <w:sz w:val="18"/>
                <w:szCs w:val="18"/>
              </w:rPr>
              <w:t xml:space="preserve">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UE antenna configurations</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rFonts w:ascii="Arial" w:hAnsi="Arial"/>
                <w:kern w:val="24"/>
                <w:lang w:val="sv-SE"/>
              </w:rPr>
            </w:pPr>
            <w:r>
              <w:rPr>
                <w:rFonts w:eastAsia="Malgun Gothic"/>
                <w:kern w:val="24"/>
                <w:lang w:val="sv-SE"/>
              </w:rPr>
              <w:t>(</w:t>
            </w:r>
            <w:r>
              <w:rPr>
                <w:rFonts w:eastAsia="Malgun Gothic"/>
                <w:kern w:val="24"/>
                <w:lang w:val="pt-BR"/>
              </w:rPr>
              <w:t>M, N, P</w:t>
            </w:r>
            <w:r>
              <w:rPr>
                <w:kern w:val="24"/>
                <w:lang w:val="pt-BR"/>
              </w:rPr>
              <w:t>,</w:t>
            </w:r>
            <w:r>
              <w:rPr>
                <w:rFonts w:eastAsia="Malgun Gothic"/>
                <w:i/>
                <w:iCs/>
                <w:kern w:val="24"/>
                <w:lang w:val="sv-SE"/>
              </w:rPr>
              <w:t xml:space="preserve"> M</w:t>
            </w:r>
            <w:r>
              <w:rPr>
                <w:rFonts w:eastAsia="Malgun Gothic"/>
                <w:i/>
                <w:iCs/>
                <w:kern w:val="24"/>
                <w:position w:val="-6"/>
                <w:vertAlign w:val="subscript"/>
                <w:lang w:val="sv-SE"/>
              </w:rPr>
              <w:t>g</w:t>
            </w:r>
            <w:r>
              <w:rPr>
                <w:rFonts w:eastAsia="Malgun Gothic"/>
                <w:kern w:val="24"/>
                <w:lang w:val="sv-SE"/>
              </w:rPr>
              <w:t xml:space="preserve">, </w:t>
            </w:r>
            <w:r>
              <w:rPr>
                <w:rFonts w:eastAsia="Malgun Gothic"/>
                <w:i/>
                <w:iCs/>
                <w:kern w:val="24"/>
                <w:lang w:val="sv-SE"/>
              </w:rPr>
              <w:t>N</w:t>
            </w:r>
            <w:r>
              <w:rPr>
                <w:rFonts w:eastAsia="Malgun Gothic"/>
                <w:i/>
                <w:iCs/>
                <w:kern w:val="24"/>
                <w:position w:val="-6"/>
                <w:vertAlign w:val="subscript"/>
                <w:lang w:val="sv-SE"/>
              </w:rPr>
              <w:t>g</w:t>
            </w:r>
            <w:r>
              <w:rPr>
                <w:rFonts w:eastAsia="Malgun Gothic"/>
                <w:kern w:val="24"/>
                <w:lang w:val="sv-SE"/>
              </w:rPr>
              <w:t>) = (</w:t>
            </w:r>
            <w:r>
              <w:rPr>
                <w:kern w:val="24"/>
                <w:lang w:val="pt-BR"/>
              </w:rPr>
              <w:t>2</w:t>
            </w:r>
            <w:r>
              <w:rPr>
                <w:rFonts w:eastAsia="Malgun Gothic"/>
                <w:kern w:val="24"/>
                <w:lang w:val="pt-BR"/>
              </w:rPr>
              <w:t xml:space="preserve">, 4, </w:t>
            </w:r>
            <w:r>
              <w:rPr>
                <w:kern w:val="24"/>
                <w:lang w:val="pt-BR"/>
              </w:rPr>
              <w:t xml:space="preserve">2, </w:t>
            </w:r>
            <w:r>
              <w:rPr>
                <w:rFonts w:eastAsia="Malgun Gothic"/>
                <w:kern w:val="24"/>
                <w:lang w:val="sv-SE"/>
              </w:rPr>
              <w:t>1, 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p>
          <w:p>
            <w:pPr>
              <w:spacing w:after="120" w:line="240" w:lineRule="auto"/>
              <w:rPr>
                <w:kern w:val="24"/>
              </w:rPr>
            </w:pP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hint="eastAsia" w:ascii="Arial" w:hAnsi="Arial" w:cs="Arial"/>
                <w:b/>
                <w:sz w:val="18"/>
                <w:szCs w:val="18"/>
                <w:lang w:eastAsia="ja-JP"/>
              </w:rPr>
              <w:t>BS array orientation</w:t>
            </w:r>
          </w:p>
        </w:tc>
        <w:tc>
          <w:tcPr>
            <w:tcW w:w="7228"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spacing w:after="120" w:line="240" w:lineRule="auto"/>
            </w:pPr>
            <w:r>
              <w:rPr>
                <w:rFonts w:ascii="Arial" w:hAnsi="Arial" w:eastAsia="Arial Unicode MS" w:cs="Arial"/>
                <w:kern w:val="2"/>
                <w:sz w:val="18"/>
                <w:szCs w:val="18"/>
              </w:rPr>
              <w:t xml:space="preserve">azimuth 0 degree; </w:t>
            </w:r>
            <w:r>
              <w:rPr>
                <w:rFonts w:hint="eastAsia" w:ascii="Arial" w:hAnsi="Arial" w:eastAsia="Arial Unicode MS" w:cs="Arial"/>
                <w:kern w:val="2"/>
                <w:sz w:val="18"/>
                <w:szCs w:val="18"/>
              </w:rPr>
              <w:t xml:space="preserve">mechanic </w:t>
            </w:r>
            <w:r>
              <w:rPr>
                <w:rFonts w:ascii="Arial" w:hAnsi="Arial" w:eastAsia="Arial Unicode MS" w:cs="Arial"/>
                <w:kern w:val="2"/>
                <w:sz w:val="18"/>
                <w:szCs w:val="18"/>
              </w:rPr>
              <w:t xml:space="preserve">downtilt: </w:t>
            </w:r>
            <w:r>
              <w:rPr>
                <w:rFonts w:hint="eastAsia" w:ascii="Arial" w:hAnsi="Arial" w:eastAsia="Arial Unicode MS" w:cs="Arial"/>
                <w:kern w:val="2"/>
                <w:sz w:val="18"/>
                <w:szCs w:val="18"/>
              </w:rPr>
              <w:t xml:space="preserve">0 </w:t>
            </w:r>
            <w:r>
              <w:rPr>
                <w:rFonts w:ascii="Arial" w:hAnsi="Arial" w:eastAsia="Arial Unicode MS" w:cs="Arial"/>
                <w:kern w:val="2"/>
                <w:sz w:val="18"/>
                <w:szCs w:val="18"/>
              </w:rPr>
              <w:t xml:space="preserve">degree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spacing w:after="120" w:line="240" w:lineRule="auto"/>
              <w:rPr>
                <w:rFonts w:eastAsia="Malgun Gothic"/>
                <w:kern w:val="24"/>
                <w:lang w:val="sv-SE"/>
              </w:rPr>
            </w:pPr>
            <w:r>
              <w:rPr>
                <w:rFonts w:eastAsia="Malgun Gothic"/>
                <w:kern w:val="24"/>
              </w:rPr>
              <w:t>Ω</w:t>
            </w:r>
            <w:r>
              <w:rPr>
                <w:rFonts w:eastAsia="Malgun Gothic"/>
                <w:i/>
                <w:iCs/>
                <w:kern w:val="24"/>
                <w:position w:val="-6"/>
                <w:vertAlign w:val="subscript"/>
              </w:rPr>
              <w:t>UT,</w:t>
            </w:r>
            <w:r>
              <w:rPr>
                <w:rFonts w:ascii="Symbol" w:hAnsi="Symbol" w:eastAsia="Malgun Gothic"/>
                <w:i/>
                <w:iCs/>
                <w:kern w:val="24"/>
                <w:position w:val="-6"/>
                <w:vertAlign w:val="subscript"/>
              </w:rPr>
              <w:t></w:t>
            </w:r>
            <w:r>
              <w:rPr>
                <w:rFonts w:ascii="Arial" w:hAnsi="Arial" w:eastAsia="Arial Unicode MS" w:cs="Arial"/>
                <w:kern w:val="2"/>
                <w:sz w:val="18"/>
                <w:szCs w:val="18"/>
              </w:rPr>
              <w:t xml:space="preserve"> uniformly distributed on [0,360] degree</w:t>
            </w:r>
            <w:r>
              <w:rPr>
                <w:rFonts w:ascii="Arial" w:hAnsi="Arial" w:eastAsia="MS Mincho"/>
                <w:kern w:val="24"/>
              </w:rPr>
              <w:t xml:space="preserve">, </w:t>
            </w:r>
            <w:r>
              <w:rPr>
                <w:rFonts w:eastAsia="Malgun Gothic"/>
                <w:kern w:val="24"/>
              </w:rPr>
              <w:t>Ω</w:t>
            </w:r>
            <w:r>
              <w:rPr>
                <w:rFonts w:eastAsia="Malgun Gothic"/>
                <w:i/>
                <w:iCs/>
                <w:kern w:val="24"/>
                <w:position w:val="-6"/>
                <w:vertAlign w:val="subscript"/>
              </w:rPr>
              <w:t>UT,</w:t>
            </w:r>
            <w:r>
              <w:rPr>
                <w:rFonts w:ascii="Symbol" w:hAnsi="Symbol" w:eastAsia="Malgun Gothic"/>
                <w:i/>
                <w:iCs/>
                <w:kern w:val="24"/>
                <w:position w:val="-6"/>
                <w:vertAlign w:val="subscript"/>
              </w:rPr>
              <w:t></w:t>
            </w:r>
            <w:r>
              <w:rPr>
                <w:rFonts w:ascii="Symbol" w:hAnsi="Symbol" w:eastAsia="Malgun Gothic"/>
                <w:kern w:val="24"/>
              </w:rPr>
              <w:t></w:t>
            </w:r>
            <w:r>
              <w:rPr>
                <w:rFonts w:eastAsia="MS Mincho"/>
                <w:kern w:val="24"/>
              </w:rPr>
              <w:t xml:space="preserve">= 0 </w:t>
            </w:r>
            <w:r>
              <w:rPr>
                <w:rFonts w:ascii="Arial" w:hAnsi="Arial" w:eastAsia="Arial Unicode MS" w:cs="Arial"/>
                <w:kern w:val="2"/>
                <w:sz w:val="18"/>
                <w:szCs w:val="18"/>
              </w:rPr>
              <w:t>degree</w:t>
            </w:r>
            <w:r>
              <w:rPr>
                <w:rFonts w:ascii="Arial" w:hAnsi="Arial" w:eastAsia="MS Mincho"/>
                <w:kern w:val="24"/>
              </w:rPr>
              <w:t xml:space="preserve">, </w:t>
            </w:r>
            <w:r>
              <w:rPr>
                <w:rFonts w:eastAsia="Malgun Gothic"/>
                <w:kern w:val="24"/>
              </w:rPr>
              <w:t>Ω</w:t>
            </w:r>
            <w:r>
              <w:rPr>
                <w:rFonts w:eastAsia="Malgun Gothic"/>
                <w:i/>
                <w:iCs/>
                <w:kern w:val="24"/>
                <w:position w:val="-6"/>
                <w:vertAlign w:val="subscript"/>
              </w:rPr>
              <w:t>UT,</w:t>
            </w:r>
            <w:r>
              <w:rPr>
                <w:rFonts w:ascii="Symbol" w:hAnsi="Symbol" w:eastAsia="Malgun Gothic"/>
                <w:i/>
                <w:iCs/>
                <w:kern w:val="24"/>
                <w:position w:val="-6"/>
                <w:vertAlign w:val="subscript"/>
              </w:rPr>
              <w:t></w:t>
            </w:r>
            <w:r>
              <w:rPr>
                <w:rFonts w:eastAsia="Malgun Gothic"/>
                <w:i/>
                <w:iCs/>
                <w:kern w:val="24"/>
                <w:position w:val="-6"/>
                <w:vertAlign w:val="subscript"/>
              </w:rPr>
              <w:t xml:space="preserve"> </w:t>
            </w:r>
            <w:r>
              <w:rPr>
                <w:rFonts w:eastAsia="MS Mincho"/>
                <w:kern w:val="24"/>
              </w:rPr>
              <w:t xml:space="preserve">= 0 </w:t>
            </w:r>
            <w:r>
              <w:rPr>
                <w:rFonts w:ascii="Arial" w:hAnsi="Arial" w:eastAsia="Arial Unicode MS" w:cs="Arial"/>
                <w:kern w:val="2"/>
                <w:sz w:val="18"/>
                <w:szCs w:val="18"/>
              </w:rPr>
              <w:t>degree</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hint="eastAsia" w:ascii="Arial" w:hAnsi="Arial" w:cs="Arial"/>
                <w:b/>
                <w:sz w:val="18"/>
                <w:szCs w:val="18"/>
              </w:rPr>
              <w:t>UE</w:t>
            </w:r>
            <w:r>
              <w:rPr>
                <w:rFonts w:ascii="Arial" w:hAnsi="Arial" w:cs="Arial"/>
                <w:b/>
                <w:sz w:val="18"/>
                <w:szCs w:val="18"/>
                <w:lang w:eastAsia="ja-JP"/>
              </w:rPr>
              <w:t xml:space="preserve"> antenna </w:t>
            </w:r>
            <w:r>
              <w:rPr>
                <w:rFonts w:hint="eastAsia" w:ascii="Arial" w:hAnsi="Arial" w:cs="Arial"/>
                <w:b/>
                <w:sz w:val="18"/>
                <w:szCs w:val="18"/>
                <w:lang w:eastAsia="ja-JP"/>
              </w:rPr>
              <w:t xml:space="preserve">element </w:t>
            </w:r>
            <w:r>
              <w:rPr>
                <w:rFonts w:ascii="Arial" w:hAnsi="Arial" w:cs="Arial"/>
                <w:b/>
                <w:sz w:val="18"/>
                <w:szCs w:val="18"/>
                <w:lang w:eastAsia="ja-JP"/>
              </w:rPr>
              <w:t>radiation pattern</w:t>
            </w:r>
          </w:p>
        </w:tc>
        <w:tc>
          <w:tcPr>
            <w:tcW w:w="7228"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rFonts w:ascii="Arial" w:hAnsi="Arial" w:cs="Arial"/>
                <w:sz w:val="18"/>
                <w:szCs w:val="18"/>
              </w:rPr>
            </w:pPr>
            <w:r>
              <w:rPr>
                <w:rFonts w:ascii="Arial" w:hAnsi="Arial" w:cs="Arial"/>
                <w:sz w:val="18"/>
                <w:szCs w:val="18"/>
              </w:rPr>
              <w:t xml:space="preserve">See </w:t>
            </w:r>
            <w:r>
              <w:rPr>
                <w:rFonts w:hint="eastAsia" w:ascii="Arial" w:hAnsi="Arial" w:cs="Arial"/>
                <w:sz w:val="18"/>
                <w:szCs w:val="18"/>
                <w:lang w:eastAsia="ja-JP"/>
              </w:rPr>
              <w:t>Table A.</w:t>
            </w:r>
            <w:r>
              <w:rPr>
                <w:rFonts w:hint="eastAsia" w:ascii="Arial" w:hAnsi="Arial" w:cs="Arial"/>
                <w:sz w:val="18"/>
                <w:szCs w:val="18"/>
              </w:rPr>
              <w:t>2.1-8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pStyle w:val="23"/>
              <w:spacing w:before="0" w:beforeAutospacing="0" w:after="120" w:afterAutospacing="0"/>
              <w:rPr>
                <w:rFonts w:ascii="Arial" w:hAnsi="Arial" w:eastAsia="Arial Unicode MS" w:cs="Arial"/>
                <w:kern w:val="2"/>
                <w:sz w:val="18"/>
                <w:szCs w:val="18"/>
              </w:rPr>
            </w:pPr>
            <w:r>
              <w:rPr>
                <w:rFonts w:ascii="Arial" w:hAnsi="Arial" w:eastAsia="Arial Unicode MS" w:cs="Arial"/>
                <w:kern w:val="2"/>
                <w:sz w:val="18"/>
                <w:szCs w:val="18"/>
              </w:rPr>
              <w:t>Analog BF based on beam selection + Digital BF based on ideal SVD</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vAlign w:val="center"/>
          </w:tcPr>
          <w:p>
            <w:pPr>
              <w:spacing w:after="120" w:line="240" w:lineRule="auto"/>
              <w:rPr>
                <w:rFonts w:ascii="Arial" w:hAnsi="Arial" w:cs="Arial"/>
                <w:color w:val="000000"/>
                <w:sz w:val="18"/>
                <w:szCs w:val="18"/>
              </w:rPr>
            </w:pPr>
            <w:r>
              <w:rPr>
                <w:rFonts w:ascii="Arial" w:hAnsi="Arial" w:cs="Arial"/>
                <w:b/>
                <w:sz w:val="18"/>
                <w:szCs w:val="18"/>
                <w:lang w:eastAsia="ja-JP"/>
              </w:rPr>
              <w:t>MIMO mode</w:t>
            </w:r>
          </w:p>
        </w:tc>
        <w:tc>
          <w:tcPr>
            <w:tcW w:w="7228"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vAlign w:val="center"/>
          </w:tcPr>
          <w:p>
            <w:pPr>
              <w:pStyle w:val="23"/>
              <w:spacing w:before="0" w:beforeAutospacing="0" w:after="120" w:afterAutospacing="0"/>
              <w:rPr>
                <w:rFonts w:ascii="Arial" w:hAnsi="Arial" w:cs="Arial"/>
                <w:color w:val="000000"/>
                <w:sz w:val="18"/>
                <w:szCs w:val="18"/>
              </w:rPr>
            </w:pPr>
            <w:r>
              <w:rPr>
                <w:rFonts w:ascii="Arial" w:hAnsi="Arial" w:eastAsia="Arial Unicode MS" w:cs="Arial"/>
                <w:kern w:val="2"/>
                <w:sz w:val="18"/>
                <w:szCs w:val="18"/>
              </w:rPr>
              <w:t>SU-MIMO</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vAlign w:val="center"/>
          </w:tcPr>
          <w:p>
            <w:pPr>
              <w:spacing w:after="120" w:line="240" w:lineRule="auto"/>
              <w:rPr>
                <w:rFonts w:ascii="Arial" w:hAnsi="Arial" w:cs="Arial"/>
                <w:b/>
                <w:sz w:val="18"/>
                <w:szCs w:val="18"/>
              </w:rPr>
            </w:pPr>
            <w:r>
              <w:rPr>
                <w:rFonts w:hint="eastAsia" w:ascii="Arial" w:hAnsi="Arial" w:cs="Arial"/>
                <w:b/>
                <w:sz w:val="18"/>
                <w:szCs w:val="18"/>
              </w:rPr>
              <w:t>C</w:t>
            </w:r>
            <w:r>
              <w:rPr>
                <w:rFonts w:ascii="Arial" w:hAnsi="Arial" w:cs="Arial"/>
                <w:b/>
                <w:sz w:val="18"/>
                <w:szCs w:val="18"/>
              </w:rPr>
              <w:t>oupling lose mode between two TRPs</w:t>
            </w:r>
          </w:p>
        </w:tc>
        <w:tc>
          <w:tcPr>
            <w:tcW w:w="7228"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vAlign w:val="center"/>
          </w:tcPr>
          <w:p>
            <w:pPr>
              <w:pStyle w:val="23"/>
              <w:spacing w:before="0" w:beforeAutospacing="0" w:after="120" w:afterAutospacing="0"/>
              <w:rPr>
                <w:rFonts w:ascii="Arial" w:hAnsi="Arial" w:eastAsia="Arial Unicode MS" w:cs="Arial"/>
                <w:kern w:val="2"/>
                <w:sz w:val="18"/>
                <w:szCs w:val="18"/>
              </w:rPr>
            </w:pPr>
            <w:r>
              <w:rPr>
                <w:rFonts w:ascii="Arial" w:hAnsi="Arial" w:eastAsia="Arial Unicode MS" w:cs="Arial"/>
                <w:kern w:val="2"/>
                <w:sz w:val="18"/>
                <w:szCs w:val="18"/>
              </w:rPr>
              <w:t>Uniform distribution from 0 dB to -25dB in term of dB domain</w:t>
            </w:r>
          </w:p>
        </w:tc>
      </w:tr>
    </w:tbl>
    <w:p>
      <w:pPr>
        <w:spacing w:after="120"/>
        <w:rPr>
          <w:lang w:val="en-GB"/>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p>
    <w:p>
      <w:pPr>
        <w:pStyle w:val="127"/>
        <w:snapToGrid w:val="0"/>
        <w:spacing w:after="120"/>
        <w:rPr>
          <w:sz w:val="20"/>
          <w:szCs w:val="20"/>
          <w:lang w:val="en-GB"/>
        </w:rPr>
      </w:pPr>
    </w:p>
    <w:p>
      <w:pPr>
        <w:pStyle w:val="118"/>
        <w:numPr>
          <w:ilvl w:val="0"/>
          <w:numId w:val="0"/>
        </w:numPr>
        <w:spacing w:after="120" w:line="259" w:lineRule="auto"/>
        <w:rPr>
          <w:bCs/>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5D304"/>
    <w:multiLevelType w:val="singleLevel"/>
    <w:tmpl w:val="A1E5D304"/>
    <w:lvl w:ilvl="0" w:tentative="0">
      <w:start w:val="1"/>
      <w:numFmt w:val="bullet"/>
      <w:lvlText w:val=""/>
      <w:lvlJc w:val="left"/>
      <w:pPr>
        <w:ind w:left="420" w:hanging="420"/>
      </w:pPr>
      <w:rPr>
        <w:rFonts w:hint="default" w:ascii="Wingdings" w:hAnsi="Wingdings"/>
      </w:rPr>
    </w:lvl>
  </w:abstractNum>
  <w:abstractNum w:abstractNumId="1">
    <w:nsid w:val="A7E83D95"/>
    <w:multiLevelType w:val="multilevel"/>
    <w:tmpl w:val="A7E83D9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DA83F135"/>
    <w:multiLevelType w:val="multilevel"/>
    <w:tmpl w:val="DA83F1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57738FC"/>
    <w:multiLevelType w:val="singleLevel"/>
    <w:tmpl w:val="F57738FC"/>
    <w:lvl w:ilvl="0" w:tentative="0">
      <w:start w:val="1"/>
      <w:numFmt w:val="bullet"/>
      <w:lvlText w:val=""/>
      <w:lvlJc w:val="left"/>
      <w:pPr>
        <w:ind w:left="420" w:hanging="42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8E72BC4"/>
    <w:multiLevelType w:val="singleLevel"/>
    <w:tmpl w:val="08E72BC4"/>
    <w:lvl w:ilvl="0" w:tentative="0">
      <w:start w:val="1"/>
      <w:numFmt w:val="bullet"/>
      <w:lvlText w:val=""/>
      <w:lvlJc w:val="left"/>
      <w:pPr>
        <w:ind w:left="420" w:hanging="420"/>
      </w:pPr>
      <w:rPr>
        <w:rFonts w:hint="default" w:ascii="Wingdings" w:hAnsi="Wingdings"/>
      </w:rPr>
    </w:lvl>
  </w:abstractNum>
  <w:abstractNum w:abstractNumId="8">
    <w:nsid w:val="091CF948"/>
    <w:multiLevelType w:val="multilevel"/>
    <w:tmpl w:val="091CF948"/>
    <w:lvl w:ilvl="0" w:tentative="0">
      <w:start w:val="3"/>
      <w:numFmt w:val="bullet"/>
      <w:lvlText w:val="-"/>
      <w:lvlJc w:val="left"/>
      <w:pPr>
        <w:tabs>
          <w:tab w:val="left" w:pos="0"/>
        </w:tabs>
        <w:ind w:left="760" w:hanging="360"/>
      </w:pPr>
      <w:rPr>
        <w:rFonts w:hint="default" w:ascii="Times New Roman" w:hAnsi="Times New Roman" w:eastAsia="Malgun Gothic" w:cs="Times New Roman"/>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imes New Roman"/>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9">
    <w:nsid w:val="193B1F21"/>
    <w:multiLevelType w:val="multilevel"/>
    <w:tmpl w:val="193B1F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22E891E"/>
    <w:multiLevelType w:val="singleLevel"/>
    <w:tmpl w:val="222E891E"/>
    <w:lvl w:ilvl="0" w:tentative="0">
      <w:start w:val="1"/>
      <w:numFmt w:val="bullet"/>
      <w:lvlText w:val=""/>
      <w:lvlJc w:val="left"/>
      <w:pPr>
        <w:tabs>
          <w:tab w:val="left" w:pos="420"/>
        </w:tabs>
        <w:ind w:left="840" w:hanging="420"/>
      </w:pPr>
      <w:rPr>
        <w:rFonts w:hint="default" w:ascii="Wingdings" w:hAnsi="Wingdings"/>
      </w:rPr>
    </w:lvl>
  </w:abstractNum>
  <w:abstractNum w:abstractNumId="11">
    <w:nsid w:val="28992238"/>
    <w:multiLevelType w:val="multilevel"/>
    <w:tmpl w:val="28992238"/>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30671C50"/>
    <w:multiLevelType w:val="multilevel"/>
    <w:tmpl w:val="30671C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14">
    <w:nsid w:val="426B4A38"/>
    <w:multiLevelType w:val="multilevel"/>
    <w:tmpl w:val="426B4A38"/>
    <w:lvl w:ilvl="0" w:tentative="0">
      <w:start w:val="1"/>
      <w:numFmt w:val="decimalZero"/>
      <w:pStyle w:val="120"/>
      <w:lvlText w:val="[00%1]"/>
      <w:lvlJc w:val="left"/>
      <w:pPr>
        <w:tabs>
          <w:tab w:val="left" w:pos="8640"/>
        </w:tabs>
        <w:ind w:left="756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5">
    <w:nsid w:val="4A8D3CCE"/>
    <w:multiLevelType w:val="multilevel"/>
    <w:tmpl w:val="4A8D3CCE"/>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6">
    <w:nsid w:val="4BDF65F6"/>
    <w:multiLevelType w:val="multilevel"/>
    <w:tmpl w:val="4BDF65F6"/>
    <w:lvl w:ilvl="0" w:tentative="0">
      <w:start w:val="1"/>
      <w:numFmt w:val="decimal"/>
      <w:pStyle w:val="1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87B09CD"/>
    <w:multiLevelType w:val="multilevel"/>
    <w:tmpl w:val="687B09C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19"/>
  </w:num>
  <w:num w:numId="4">
    <w:abstractNumId w:val="6"/>
  </w:num>
  <w:num w:numId="5">
    <w:abstractNumId w:val="13"/>
  </w:num>
  <w:num w:numId="6">
    <w:abstractNumId w:val="16"/>
  </w:num>
  <w:num w:numId="7">
    <w:abstractNumId w:val="14"/>
  </w:num>
  <w:num w:numId="8">
    <w:abstractNumId w:val="15"/>
  </w:num>
  <w:num w:numId="9">
    <w:abstractNumId w:val="9"/>
  </w:num>
  <w:num w:numId="10">
    <w:abstractNumId w:val="12"/>
  </w:num>
  <w:num w:numId="11">
    <w:abstractNumId w:val="7"/>
  </w:num>
  <w:num w:numId="12">
    <w:abstractNumId w:val="20"/>
  </w:num>
  <w:num w:numId="13">
    <w:abstractNumId w:val="3"/>
  </w:num>
  <w:num w:numId="14">
    <w:abstractNumId w:val="0"/>
  </w:num>
  <w:num w:numId="15">
    <w:abstractNumId w:val="11"/>
  </w:num>
  <w:num w:numId="16">
    <w:abstractNumId w:val="17"/>
  </w:num>
  <w:num w:numId="17">
    <w:abstractNumId w:val="1"/>
  </w:num>
  <w:num w:numId="18">
    <w:abstractNumId w:val="10"/>
  </w:num>
  <w:num w:numId="19">
    <w:abstractNumId w:val="4"/>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3DA"/>
    <w:rsid w:val="000C395E"/>
    <w:rsid w:val="000C3BDA"/>
    <w:rsid w:val="000C4240"/>
    <w:rsid w:val="000C429A"/>
    <w:rsid w:val="000C45FE"/>
    <w:rsid w:val="000C4972"/>
    <w:rsid w:val="000C4ECD"/>
    <w:rsid w:val="000C577F"/>
    <w:rsid w:val="000C5E20"/>
    <w:rsid w:val="000C5E7D"/>
    <w:rsid w:val="000C62FC"/>
    <w:rsid w:val="000C64C0"/>
    <w:rsid w:val="000C6C88"/>
    <w:rsid w:val="000C7331"/>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55"/>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27"/>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4D0"/>
    <w:rsid w:val="00101AFD"/>
    <w:rsid w:val="00101B58"/>
    <w:rsid w:val="00101C8E"/>
    <w:rsid w:val="00102192"/>
    <w:rsid w:val="0010229B"/>
    <w:rsid w:val="00102546"/>
    <w:rsid w:val="00102718"/>
    <w:rsid w:val="00102829"/>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76"/>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88B"/>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5D46"/>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780"/>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D07"/>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A6E"/>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CF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31"/>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06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4D"/>
    <w:rsid w:val="00254828"/>
    <w:rsid w:val="0025490E"/>
    <w:rsid w:val="0025491D"/>
    <w:rsid w:val="00254B13"/>
    <w:rsid w:val="00255C39"/>
    <w:rsid w:val="00256313"/>
    <w:rsid w:val="0025684A"/>
    <w:rsid w:val="00256B05"/>
    <w:rsid w:val="00256FEC"/>
    <w:rsid w:val="00257055"/>
    <w:rsid w:val="002575FB"/>
    <w:rsid w:val="0025764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ECD"/>
    <w:rsid w:val="00262F79"/>
    <w:rsid w:val="00263147"/>
    <w:rsid w:val="0026315D"/>
    <w:rsid w:val="00263355"/>
    <w:rsid w:val="00263623"/>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900"/>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5DE"/>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189C"/>
    <w:rsid w:val="00291968"/>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0A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9B3"/>
    <w:rsid w:val="002C1C6B"/>
    <w:rsid w:val="002C1E7D"/>
    <w:rsid w:val="002C2041"/>
    <w:rsid w:val="002C2349"/>
    <w:rsid w:val="002C278B"/>
    <w:rsid w:val="002C2EBE"/>
    <w:rsid w:val="002C30E1"/>
    <w:rsid w:val="002C321B"/>
    <w:rsid w:val="002C329C"/>
    <w:rsid w:val="002C3B54"/>
    <w:rsid w:val="002C3E5A"/>
    <w:rsid w:val="002C434C"/>
    <w:rsid w:val="002C4490"/>
    <w:rsid w:val="002C47EF"/>
    <w:rsid w:val="002C4A0A"/>
    <w:rsid w:val="002C50D3"/>
    <w:rsid w:val="002C54A0"/>
    <w:rsid w:val="002C58BF"/>
    <w:rsid w:val="002C58CA"/>
    <w:rsid w:val="002C6077"/>
    <w:rsid w:val="002C60F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6EB"/>
    <w:rsid w:val="002E4A6C"/>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C26"/>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A1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6F3"/>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172"/>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645"/>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56B"/>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34"/>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A91"/>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BD"/>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489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2B"/>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B0"/>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67C"/>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47D55"/>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370"/>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3B02"/>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C7D97"/>
    <w:rsid w:val="004D053B"/>
    <w:rsid w:val="004D0961"/>
    <w:rsid w:val="004D0BBE"/>
    <w:rsid w:val="004D0BCD"/>
    <w:rsid w:val="004D1299"/>
    <w:rsid w:val="004D151C"/>
    <w:rsid w:val="004D1853"/>
    <w:rsid w:val="004D1FBB"/>
    <w:rsid w:val="004D21B7"/>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CF3"/>
    <w:rsid w:val="004D4D7D"/>
    <w:rsid w:val="004D59CF"/>
    <w:rsid w:val="004D5AFD"/>
    <w:rsid w:val="004D5EF6"/>
    <w:rsid w:val="004D6787"/>
    <w:rsid w:val="004D6A39"/>
    <w:rsid w:val="004D7258"/>
    <w:rsid w:val="004D738A"/>
    <w:rsid w:val="004E01C0"/>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AD5"/>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21F"/>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4FE8"/>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1"/>
    <w:rsid w:val="00543988"/>
    <w:rsid w:val="00544064"/>
    <w:rsid w:val="00544241"/>
    <w:rsid w:val="0054462D"/>
    <w:rsid w:val="00544CBC"/>
    <w:rsid w:val="0054563A"/>
    <w:rsid w:val="00545BF0"/>
    <w:rsid w:val="00545F63"/>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720"/>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B94"/>
    <w:rsid w:val="005A1346"/>
    <w:rsid w:val="005A14B9"/>
    <w:rsid w:val="005A173A"/>
    <w:rsid w:val="005A17B0"/>
    <w:rsid w:val="005A1981"/>
    <w:rsid w:val="005A1A2E"/>
    <w:rsid w:val="005A1B71"/>
    <w:rsid w:val="005A1C4A"/>
    <w:rsid w:val="005A2248"/>
    <w:rsid w:val="005A233F"/>
    <w:rsid w:val="005A24DF"/>
    <w:rsid w:val="005A2736"/>
    <w:rsid w:val="005A276A"/>
    <w:rsid w:val="005A276E"/>
    <w:rsid w:val="005A27F5"/>
    <w:rsid w:val="005A2DE3"/>
    <w:rsid w:val="005A2E29"/>
    <w:rsid w:val="005A2E6A"/>
    <w:rsid w:val="005A30FC"/>
    <w:rsid w:val="005A3160"/>
    <w:rsid w:val="005A354C"/>
    <w:rsid w:val="005A35DF"/>
    <w:rsid w:val="005A36C8"/>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017"/>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315"/>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95B"/>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9E"/>
    <w:rsid w:val="006104F5"/>
    <w:rsid w:val="0061097A"/>
    <w:rsid w:val="006109C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46A"/>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678"/>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EE"/>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849"/>
    <w:rsid w:val="006B2C4B"/>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0BB"/>
    <w:rsid w:val="006B6648"/>
    <w:rsid w:val="006B66F2"/>
    <w:rsid w:val="006B738B"/>
    <w:rsid w:val="006B790F"/>
    <w:rsid w:val="006B7F49"/>
    <w:rsid w:val="006C0940"/>
    <w:rsid w:val="006C0E8E"/>
    <w:rsid w:val="006C2224"/>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659"/>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C0"/>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2BB"/>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BBF"/>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6E3"/>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32"/>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6B14"/>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7D6"/>
    <w:rsid w:val="007F4A82"/>
    <w:rsid w:val="007F4B5B"/>
    <w:rsid w:val="007F4D61"/>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D89"/>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DAB"/>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89"/>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04B"/>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2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2F"/>
    <w:rsid w:val="00880748"/>
    <w:rsid w:val="00880D73"/>
    <w:rsid w:val="008811F4"/>
    <w:rsid w:val="0088150B"/>
    <w:rsid w:val="008817EE"/>
    <w:rsid w:val="0088194D"/>
    <w:rsid w:val="00881E70"/>
    <w:rsid w:val="00881FF2"/>
    <w:rsid w:val="00882863"/>
    <w:rsid w:val="00882992"/>
    <w:rsid w:val="00882A64"/>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744"/>
    <w:rsid w:val="008A3AFD"/>
    <w:rsid w:val="008A3B38"/>
    <w:rsid w:val="008A3B92"/>
    <w:rsid w:val="008A3E29"/>
    <w:rsid w:val="008A3EAE"/>
    <w:rsid w:val="008A3F24"/>
    <w:rsid w:val="008A40CA"/>
    <w:rsid w:val="008A46F4"/>
    <w:rsid w:val="008A4DCA"/>
    <w:rsid w:val="008A50FD"/>
    <w:rsid w:val="008A5259"/>
    <w:rsid w:val="008A53B5"/>
    <w:rsid w:val="008A5F62"/>
    <w:rsid w:val="008A60E9"/>
    <w:rsid w:val="008A6130"/>
    <w:rsid w:val="008A6323"/>
    <w:rsid w:val="008A688D"/>
    <w:rsid w:val="008A6B49"/>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2B7B"/>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897"/>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03B"/>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1F6"/>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11A"/>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5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A9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BE3"/>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57"/>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216"/>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06"/>
    <w:rsid w:val="00A46A3D"/>
    <w:rsid w:val="00A46AE5"/>
    <w:rsid w:val="00A46CBB"/>
    <w:rsid w:val="00A47639"/>
    <w:rsid w:val="00A4771E"/>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852"/>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BB4"/>
    <w:rsid w:val="00AB2E3F"/>
    <w:rsid w:val="00AB30F8"/>
    <w:rsid w:val="00AB3261"/>
    <w:rsid w:val="00AB3598"/>
    <w:rsid w:val="00AB3735"/>
    <w:rsid w:val="00AB448A"/>
    <w:rsid w:val="00AB47DF"/>
    <w:rsid w:val="00AB4FA4"/>
    <w:rsid w:val="00AB5084"/>
    <w:rsid w:val="00AB6073"/>
    <w:rsid w:val="00AB61B6"/>
    <w:rsid w:val="00AB6298"/>
    <w:rsid w:val="00AB642E"/>
    <w:rsid w:val="00AB65C3"/>
    <w:rsid w:val="00AB67D8"/>
    <w:rsid w:val="00AB6C98"/>
    <w:rsid w:val="00AB6CA7"/>
    <w:rsid w:val="00AB6FC9"/>
    <w:rsid w:val="00AB7731"/>
    <w:rsid w:val="00AC0369"/>
    <w:rsid w:val="00AC0392"/>
    <w:rsid w:val="00AC0979"/>
    <w:rsid w:val="00AC13B9"/>
    <w:rsid w:val="00AC15F3"/>
    <w:rsid w:val="00AC172A"/>
    <w:rsid w:val="00AC1741"/>
    <w:rsid w:val="00AC1D3B"/>
    <w:rsid w:val="00AC1FF3"/>
    <w:rsid w:val="00AC2140"/>
    <w:rsid w:val="00AC28A9"/>
    <w:rsid w:val="00AC2DCD"/>
    <w:rsid w:val="00AC39AF"/>
    <w:rsid w:val="00AC3A5D"/>
    <w:rsid w:val="00AC3CBA"/>
    <w:rsid w:val="00AC4153"/>
    <w:rsid w:val="00AC4162"/>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0EC"/>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70E"/>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68C"/>
    <w:rsid w:val="00B14A67"/>
    <w:rsid w:val="00B14BE6"/>
    <w:rsid w:val="00B154D7"/>
    <w:rsid w:val="00B15B4C"/>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275"/>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787"/>
    <w:rsid w:val="00B26158"/>
    <w:rsid w:val="00B2671C"/>
    <w:rsid w:val="00B268F0"/>
    <w:rsid w:val="00B274E3"/>
    <w:rsid w:val="00B276A6"/>
    <w:rsid w:val="00B2783A"/>
    <w:rsid w:val="00B27F46"/>
    <w:rsid w:val="00B27F48"/>
    <w:rsid w:val="00B30317"/>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2D7"/>
    <w:rsid w:val="00B366FB"/>
    <w:rsid w:val="00B3786A"/>
    <w:rsid w:val="00B37A4D"/>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17E"/>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950"/>
    <w:rsid w:val="00B55B3A"/>
    <w:rsid w:val="00B55D55"/>
    <w:rsid w:val="00B55E2E"/>
    <w:rsid w:val="00B56071"/>
    <w:rsid w:val="00B5683F"/>
    <w:rsid w:val="00B572DA"/>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8DF"/>
    <w:rsid w:val="00B81CC0"/>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3A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1F39"/>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497"/>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E4B"/>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471"/>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1C7"/>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DFB"/>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94D"/>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194C"/>
    <w:rsid w:val="00C71DED"/>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EB1"/>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ECE"/>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56A"/>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7C5"/>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6C94"/>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697"/>
    <w:rsid w:val="00CF67B0"/>
    <w:rsid w:val="00CF6F3E"/>
    <w:rsid w:val="00D00021"/>
    <w:rsid w:val="00D0045F"/>
    <w:rsid w:val="00D00793"/>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7D2"/>
    <w:rsid w:val="00D10A06"/>
    <w:rsid w:val="00D115E0"/>
    <w:rsid w:val="00D117E3"/>
    <w:rsid w:val="00D11D7F"/>
    <w:rsid w:val="00D11F92"/>
    <w:rsid w:val="00D121A3"/>
    <w:rsid w:val="00D12931"/>
    <w:rsid w:val="00D12CD2"/>
    <w:rsid w:val="00D12ED4"/>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83C"/>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0E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3C60"/>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3C"/>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A6"/>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5A5"/>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AC5"/>
    <w:rsid w:val="00DA6E80"/>
    <w:rsid w:val="00DA6F89"/>
    <w:rsid w:val="00DA734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3CD"/>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16C"/>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657"/>
    <w:rsid w:val="00E0370C"/>
    <w:rsid w:val="00E0392B"/>
    <w:rsid w:val="00E03E45"/>
    <w:rsid w:val="00E03F50"/>
    <w:rsid w:val="00E0406D"/>
    <w:rsid w:val="00E0431F"/>
    <w:rsid w:val="00E045F7"/>
    <w:rsid w:val="00E04801"/>
    <w:rsid w:val="00E04E06"/>
    <w:rsid w:val="00E04E97"/>
    <w:rsid w:val="00E051FA"/>
    <w:rsid w:val="00E054F1"/>
    <w:rsid w:val="00E05627"/>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6D2"/>
    <w:rsid w:val="00E31A02"/>
    <w:rsid w:val="00E31A50"/>
    <w:rsid w:val="00E31DDE"/>
    <w:rsid w:val="00E320C5"/>
    <w:rsid w:val="00E32285"/>
    <w:rsid w:val="00E326F4"/>
    <w:rsid w:val="00E32C5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D7C"/>
    <w:rsid w:val="00E40E63"/>
    <w:rsid w:val="00E411ED"/>
    <w:rsid w:val="00E4133D"/>
    <w:rsid w:val="00E41521"/>
    <w:rsid w:val="00E4164B"/>
    <w:rsid w:val="00E416F5"/>
    <w:rsid w:val="00E41ADF"/>
    <w:rsid w:val="00E41FA7"/>
    <w:rsid w:val="00E433A4"/>
    <w:rsid w:val="00E43A7D"/>
    <w:rsid w:val="00E43B3F"/>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97A"/>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28A"/>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CEE"/>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38D"/>
    <w:rsid w:val="00E84622"/>
    <w:rsid w:val="00E847A0"/>
    <w:rsid w:val="00E84A73"/>
    <w:rsid w:val="00E8512F"/>
    <w:rsid w:val="00E853AA"/>
    <w:rsid w:val="00E85AC0"/>
    <w:rsid w:val="00E85ADE"/>
    <w:rsid w:val="00E86350"/>
    <w:rsid w:val="00E863DE"/>
    <w:rsid w:val="00E866AB"/>
    <w:rsid w:val="00E86752"/>
    <w:rsid w:val="00E86959"/>
    <w:rsid w:val="00E86E36"/>
    <w:rsid w:val="00E87577"/>
    <w:rsid w:val="00E87891"/>
    <w:rsid w:val="00E87EEF"/>
    <w:rsid w:val="00E91078"/>
    <w:rsid w:val="00E91D67"/>
    <w:rsid w:val="00E92315"/>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1613"/>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79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C751C"/>
    <w:rsid w:val="00ED022E"/>
    <w:rsid w:val="00ED0712"/>
    <w:rsid w:val="00ED0773"/>
    <w:rsid w:val="00ED1364"/>
    <w:rsid w:val="00ED141D"/>
    <w:rsid w:val="00ED1761"/>
    <w:rsid w:val="00ED17D0"/>
    <w:rsid w:val="00ED19FE"/>
    <w:rsid w:val="00ED1D66"/>
    <w:rsid w:val="00ED20A4"/>
    <w:rsid w:val="00ED20B7"/>
    <w:rsid w:val="00ED2156"/>
    <w:rsid w:val="00ED21C9"/>
    <w:rsid w:val="00ED302C"/>
    <w:rsid w:val="00ED348C"/>
    <w:rsid w:val="00ED3711"/>
    <w:rsid w:val="00ED3878"/>
    <w:rsid w:val="00ED3952"/>
    <w:rsid w:val="00ED401D"/>
    <w:rsid w:val="00ED4121"/>
    <w:rsid w:val="00ED44DC"/>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1FDA"/>
    <w:rsid w:val="00F020D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40A9"/>
    <w:rsid w:val="00F25093"/>
    <w:rsid w:val="00F250C3"/>
    <w:rsid w:val="00F25257"/>
    <w:rsid w:val="00F2546E"/>
    <w:rsid w:val="00F254C5"/>
    <w:rsid w:val="00F25ED2"/>
    <w:rsid w:val="00F261C3"/>
    <w:rsid w:val="00F26431"/>
    <w:rsid w:val="00F26A4B"/>
    <w:rsid w:val="00F26BD2"/>
    <w:rsid w:val="00F26E53"/>
    <w:rsid w:val="00F27025"/>
    <w:rsid w:val="00F27471"/>
    <w:rsid w:val="00F2758A"/>
    <w:rsid w:val="00F27674"/>
    <w:rsid w:val="00F27701"/>
    <w:rsid w:val="00F27C1E"/>
    <w:rsid w:val="00F30257"/>
    <w:rsid w:val="00F303E8"/>
    <w:rsid w:val="00F30434"/>
    <w:rsid w:val="00F30554"/>
    <w:rsid w:val="00F30BC4"/>
    <w:rsid w:val="00F31018"/>
    <w:rsid w:val="00F31256"/>
    <w:rsid w:val="00F31913"/>
    <w:rsid w:val="00F32CB3"/>
    <w:rsid w:val="00F32D5E"/>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8D9"/>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0E6F"/>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A3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A98"/>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47F3"/>
    <w:rsid w:val="00FE5906"/>
    <w:rsid w:val="00FE590E"/>
    <w:rsid w:val="00FE5B0F"/>
    <w:rsid w:val="00FE5B26"/>
    <w:rsid w:val="00FE5E62"/>
    <w:rsid w:val="00FE6523"/>
    <w:rsid w:val="00FE6A1D"/>
    <w:rsid w:val="00FE6CC9"/>
    <w:rsid w:val="00FE7234"/>
    <w:rsid w:val="00FE793B"/>
    <w:rsid w:val="00FE7A21"/>
    <w:rsid w:val="00FE7AE7"/>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0C7DCA"/>
    <w:rsid w:val="0115454E"/>
    <w:rsid w:val="01242C11"/>
    <w:rsid w:val="0134424B"/>
    <w:rsid w:val="013B5510"/>
    <w:rsid w:val="013D13C6"/>
    <w:rsid w:val="01422B07"/>
    <w:rsid w:val="01462EFE"/>
    <w:rsid w:val="015E0BE9"/>
    <w:rsid w:val="01604E60"/>
    <w:rsid w:val="01675EC8"/>
    <w:rsid w:val="01812B89"/>
    <w:rsid w:val="018F1416"/>
    <w:rsid w:val="01A857AA"/>
    <w:rsid w:val="01AB094A"/>
    <w:rsid w:val="01AE21DC"/>
    <w:rsid w:val="01B306E4"/>
    <w:rsid w:val="01D27A5F"/>
    <w:rsid w:val="01DA0497"/>
    <w:rsid w:val="01F6374D"/>
    <w:rsid w:val="01FB1984"/>
    <w:rsid w:val="0201766A"/>
    <w:rsid w:val="020F09B3"/>
    <w:rsid w:val="02142A52"/>
    <w:rsid w:val="02151F95"/>
    <w:rsid w:val="02217176"/>
    <w:rsid w:val="0225793B"/>
    <w:rsid w:val="022E47B0"/>
    <w:rsid w:val="02554999"/>
    <w:rsid w:val="02574326"/>
    <w:rsid w:val="025B75F9"/>
    <w:rsid w:val="02767EF6"/>
    <w:rsid w:val="029D7FA8"/>
    <w:rsid w:val="02A745A4"/>
    <w:rsid w:val="02B34E07"/>
    <w:rsid w:val="02B43EF4"/>
    <w:rsid w:val="02BB7BEC"/>
    <w:rsid w:val="02BC3837"/>
    <w:rsid w:val="02DD1CD3"/>
    <w:rsid w:val="02E818F1"/>
    <w:rsid w:val="02EE66D4"/>
    <w:rsid w:val="02FC5711"/>
    <w:rsid w:val="030F5EB8"/>
    <w:rsid w:val="031B3D3A"/>
    <w:rsid w:val="03300F14"/>
    <w:rsid w:val="03382F46"/>
    <w:rsid w:val="033A53C5"/>
    <w:rsid w:val="033D7365"/>
    <w:rsid w:val="034140B1"/>
    <w:rsid w:val="03446D0A"/>
    <w:rsid w:val="03760021"/>
    <w:rsid w:val="037C375A"/>
    <w:rsid w:val="037C5BED"/>
    <w:rsid w:val="03871F70"/>
    <w:rsid w:val="038E73DC"/>
    <w:rsid w:val="0390405E"/>
    <w:rsid w:val="03915486"/>
    <w:rsid w:val="039B0F0F"/>
    <w:rsid w:val="03A40856"/>
    <w:rsid w:val="03A730F0"/>
    <w:rsid w:val="03AC2CA7"/>
    <w:rsid w:val="03AE2B70"/>
    <w:rsid w:val="03B45494"/>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8C730F"/>
    <w:rsid w:val="0492209E"/>
    <w:rsid w:val="04AC4C6E"/>
    <w:rsid w:val="04B345F7"/>
    <w:rsid w:val="04BE7DD0"/>
    <w:rsid w:val="04C550B7"/>
    <w:rsid w:val="04DF1AEA"/>
    <w:rsid w:val="04E06C91"/>
    <w:rsid w:val="04EB3650"/>
    <w:rsid w:val="04F92EC2"/>
    <w:rsid w:val="050D0125"/>
    <w:rsid w:val="051F57F4"/>
    <w:rsid w:val="053674E2"/>
    <w:rsid w:val="054445DB"/>
    <w:rsid w:val="05526421"/>
    <w:rsid w:val="055A06C9"/>
    <w:rsid w:val="056263D6"/>
    <w:rsid w:val="05702DF2"/>
    <w:rsid w:val="05733EFD"/>
    <w:rsid w:val="058B4F67"/>
    <w:rsid w:val="058B581F"/>
    <w:rsid w:val="058D2653"/>
    <w:rsid w:val="05930449"/>
    <w:rsid w:val="059C073F"/>
    <w:rsid w:val="05A11E98"/>
    <w:rsid w:val="05A2249A"/>
    <w:rsid w:val="05A67D15"/>
    <w:rsid w:val="05EA3121"/>
    <w:rsid w:val="05EB37CA"/>
    <w:rsid w:val="05EF39F0"/>
    <w:rsid w:val="05F12171"/>
    <w:rsid w:val="060D79A1"/>
    <w:rsid w:val="060E0069"/>
    <w:rsid w:val="060E00E0"/>
    <w:rsid w:val="06257099"/>
    <w:rsid w:val="06365C0B"/>
    <w:rsid w:val="0637179F"/>
    <w:rsid w:val="064A751F"/>
    <w:rsid w:val="064B62DC"/>
    <w:rsid w:val="06635B0D"/>
    <w:rsid w:val="066441C3"/>
    <w:rsid w:val="06646933"/>
    <w:rsid w:val="067751BD"/>
    <w:rsid w:val="067F7DB1"/>
    <w:rsid w:val="06AC2F9E"/>
    <w:rsid w:val="06AF0BCC"/>
    <w:rsid w:val="06B87B02"/>
    <w:rsid w:val="06C00728"/>
    <w:rsid w:val="06C467EF"/>
    <w:rsid w:val="06C531CE"/>
    <w:rsid w:val="06CF7159"/>
    <w:rsid w:val="06D32D7E"/>
    <w:rsid w:val="06DB55F7"/>
    <w:rsid w:val="06E21138"/>
    <w:rsid w:val="06E64C63"/>
    <w:rsid w:val="06F24EF2"/>
    <w:rsid w:val="06F77157"/>
    <w:rsid w:val="07130EF3"/>
    <w:rsid w:val="07212CF9"/>
    <w:rsid w:val="07355090"/>
    <w:rsid w:val="07470651"/>
    <w:rsid w:val="07493989"/>
    <w:rsid w:val="075815C4"/>
    <w:rsid w:val="075D44E8"/>
    <w:rsid w:val="075D6BDA"/>
    <w:rsid w:val="07AE7932"/>
    <w:rsid w:val="07B814E5"/>
    <w:rsid w:val="07D013A8"/>
    <w:rsid w:val="07D05651"/>
    <w:rsid w:val="07D648D8"/>
    <w:rsid w:val="07F65E31"/>
    <w:rsid w:val="07FD44E9"/>
    <w:rsid w:val="07FE0291"/>
    <w:rsid w:val="0805407D"/>
    <w:rsid w:val="080B2898"/>
    <w:rsid w:val="080B3B19"/>
    <w:rsid w:val="08127126"/>
    <w:rsid w:val="08132E8B"/>
    <w:rsid w:val="081D706E"/>
    <w:rsid w:val="084808B7"/>
    <w:rsid w:val="08586D3D"/>
    <w:rsid w:val="085A4B9F"/>
    <w:rsid w:val="085D519A"/>
    <w:rsid w:val="086D1BC3"/>
    <w:rsid w:val="08706B4B"/>
    <w:rsid w:val="08804B41"/>
    <w:rsid w:val="08857880"/>
    <w:rsid w:val="088B79C8"/>
    <w:rsid w:val="088D0913"/>
    <w:rsid w:val="08C673B3"/>
    <w:rsid w:val="08C7416F"/>
    <w:rsid w:val="08C9030E"/>
    <w:rsid w:val="08C94E52"/>
    <w:rsid w:val="08CE61CB"/>
    <w:rsid w:val="08D2064E"/>
    <w:rsid w:val="08DD2D3C"/>
    <w:rsid w:val="08F44BC5"/>
    <w:rsid w:val="08FA203B"/>
    <w:rsid w:val="09007005"/>
    <w:rsid w:val="0911673C"/>
    <w:rsid w:val="091F31A7"/>
    <w:rsid w:val="093F71F6"/>
    <w:rsid w:val="094B14E7"/>
    <w:rsid w:val="095256C8"/>
    <w:rsid w:val="09565920"/>
    <w:rsid w:val="09780066"/>
    <w:rsid w:val="09A3492C"/>
    <w:rsid w:val="09A57975"/>
    <w:rsid w:val="09AB18BD"/>
    <w:rsid w:val="09AB29D4"/>
    <w:rsid w:val="09B264B8"/>
    <w:rsid w:val="09D31243"/>
    <w:rsid w:val="09DE1743"/>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D21CE"/>
    <w:rsid w:val="0A7E1124"/>
    <w:rsid w:val="0A934843"/>
    <w:rsid w:val="0A980D85"/>
    <w:rsid w:val="0A9E4A8D"/>
    <w:rsid w:val="0A9F2012"/>
    <w:rsid w:val="0AA27CFB"/>
    <w:rsid w:val="0AAA6D9C"/>
    <w:rsid w:val="0AB53627"/>
    <w:rsid w:val="0ABA7DFE"/>
    <w:rsid w:val="0ABB4F01"/>
    <w:rsid w:val="0AC10A13"/>
    <w:rsid w:val="0ACE1EAB"/>
    <w:rsid w:val="0AD171C9"/>
    <w:rsid w:val="0ADF1040"/>
    <w:rsid w:val="0AE57C7B"/>
    <w:rsid w:val="0AE57FB0"/>
    <w:rsid w:val="0AE65CB9"/>
    <w:rsid w:val="0AE87F4F"/>
    <w:rsid w:val="0AE96B11"/>
    <w:rsid w:val="0AEA5221"/>
    <w:rsid w:val="0AF42B5F"/>
    <w:rsid w:val="0AF450E7"/>
    <w:rsid w:val="0AFD09EB"/>
    <w:rsid w:val="0AFF05E6"/>
    <w:rsid w:val="0B07538C"/>
    <w:rsid w:val="0B1A274D"/>
    <w:rsid w:val="0B254ED4"/>
    <w:rsid w:val="0B2E5D46"/>
    <w:rsid w:val="0B3A4E5B"/>
    <w:rsid w:val="0B536C32"/>
    <w:rsid w:val="0B5823AA"/>
    <w:rsid w:val="0B595FAD"/>
    <w:rsid w:val="0B722B08"/>
    <w:rsid w:val="0B7F06C2"/>
    <w:rsid w:val="0B827907"/>
    <w:rsid w:val="0B8849CF"/>
    <w:rsid w:val="0B8C4C1A"/>
    <w:rsid w:val="0B9549DB"/>
    <w:rsid w:val="0B9D13EC"/>
    <w:rsid w:val="0BA07E46"/>
    <w:rsid w:val="0BA834A7"/>
    <w:rsid w:val="0BC032D6"/>
    <w:rsid w:val="0BC10793"/>
    <w:rsid w:val="0BC40927"/>
    <w:rsid w:val="0BD17E42"/>
    <w:rsid w:val="0BD7775C"/>
    <w:rsid w:val="0BDB1E35"/>
    <w:rsid w:val="0BDB6546"/>
    <w:rsid w:val="0BF52B11"/>
    <w:rsid w:val="0C1435FE"/>
    <w:rsid w:val="0C1541AA"/>
    <w:rsid w:val="0C195365"/>
    <w:rsid w:val="0C6F4E58"/>
    <w:rsid w:val="0C807138"/>
    <w:rsid w:val="0C9038BA"/>
    <w:rsid w:val="0C965368"/>
    <w:rsid w:val="0CA5047D"/>
    <w:rsid w:val="0CC01384"/>
    <w:rsid w:val="0CFA665D"/>
    <w:rsid w:val="0CFB1DB9"/>
    <w:rsid w:val="0CFD3ABB"/>
    <w:rsid w:val="0D08071E"/>
    <w:rsid w:val="0D220294"/>
    <w:rsid w:val="0D3607DC"/>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5203B0"/>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A7A40"/>
    <w:rsid w:val="0FBB10D0"/>
    <w:rsid w:val="0FC76383"/>
    <w:rsid w:val="0FCF0D56"/>
    <w:rsid w:val="0FD554F0"/>
    <w:rsid w:val="0FDA6A10"/>
    <w:rsid w:val="0FE84CBD"/>
    <w:rsid w:val="0FEB3AA8"/>
    <w:rsid w:val="0FF411B5"/>
    <w:rsid w:val="0FF6424F"/>
    <w:rsid w:val="10040C3F"/>
    <w:rsid w:val="100B59FA"/>
    <w:rsid w:val="10110CDB"/>
    <w:rsid w:val="10202109"/>
    <w:rsid w:val="10206D1E"/>
    <w:rsid w:val="10486439"/>
    <w:rsid w:val="105231E4"/>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392155"/>
    <w:rsid w:val="113F1627"/>
    <w:rsid w:val="115675D1"/>
    <w:rsid w:val="115C21C0"/>
    <w:rsid w:val="1168799E"/>
    <w:rsid w:val="11886383"/>
    <w:rsid w:val="11890B73"/>
    <w:rsid w:val="11945663"/>
    <w:rsid w:val="11A64DBC"/>
    <w:rsid w:val="11AF324A"/>
    <w:rsid w:val="11B412CF"/>
    <w:rsid w:val="11C94B39"/>
    <w:rsid w:val="11D57FF6"/>
    <w:rsid w:val="11E824A4"/>
    <w:rsid w:val="11EA0026"/>
    <w:rsid w:val="11FA3D21"/>
    <w:rsid w:val="11FD67BF"/>
    <w:rsid w:val="12206210"/>
    <w:rsid w:val="1228310E"/>
    <w:rsid w:val="12325B1D"/>
    <w:rsid w:val="1244691E"/>
    <w:rsid w:val="1251591B"/>
    <w:rsid w:val="12555F1C"/>
    <w:rsid w:val="12610602"/>
    <w:rsid w:val="12641F7B"/>
    <w:rsid w:val="1269339E"/>
    <w:rsid w:val="126B461E"/>
    <w:rsid w:val="1270050B"/>
    <w:rsid w:val="127D72F2"/>
    <w:rsid w:val="12943772"/>
    <w:rsid w:val="129D06D6"/>
    <w:rsid w:val="12A908D3"/>
    <w:rsid w:val="12AA7F02"/>
    <w:rsid w:val="12CA5C10"/>
    <w:rsid w:val="12D17916"/>
    <w:rsid w:val="12DE33CA"/>
    <w:rsid w:val="12EE6B97"/>
    <w:rsid w:val="12FF52DE"/>
    <w:rsid w:val="130267DA"/>
    <w:rsid w:val="13207705"/>
    <w:rsid w:val="13277105"/>
    <w:rsid w:val="13344C16"/>
    <w:rsid w:val="1343505A"/>
    <w:rsid w:val="13544A6B"/>
    <w:rsid w:val="135774B6"/>
    <w:rsid w:val="13780329"/>
    <w:rsid w:val="137A40BD"/>
    <w:rsid w:val="13910B1E"/>
    <w:rsid w:val="13981BF4"/>
    <w:rsid w:val="139C3FE2"/>
    <w:rsid w:val="13A1765A"/>
    <w:rsid w:val="13B32766"/>
    <w:rsid w:val="13B563DA"/>
    <w:rsid w:val="13B84D61"/>
    <w:rsid w:val="13BD078F"/>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9F786C"/>
    <w:rsid w:val="15A019B7"/>
    <w:rsid w:val="15A34322"/>
    <w:rsid w:val="15B5333A"/>
    <w:rsid w:val="15BE55E6"/>
    <w:rsid w:val="15C94A90"/>
    <w:rsid w:val="15CB29B5"/>
    <w:rsid w:val="15D267E2"/>
    <w:rsid w:val="15D74588"/>
    <w:rsid w:val="15E07D76"/>
    <w:rsid w:val="15EB4378"/>
    <w:rsid w:val="15FD7798"/>
    <w:rsid w:val="160B185E"/>
    <w:rsid w:val="161059D3"/>
    <w:rsid w:val="161334A9"/>
    <w:rsid w:val="16172700"/>
    <w:rsid w:val="1628036C"/>
    <w:rsid w:val="16283C78"/>
    <w:rsid w:val="16356835"/>
    <w:rsid w:val="16373977"/>
    <w:rsid w:val="16435A3F"/>
    <w:rsid w:val="16704155"/>
    <w:rsid w:val="16796F0F"/>
    <w:rsid w:val="1688556A"/>
    <w:rsid w:val="168A3793"/>
    <w:rsid w:val="16A00FDF"/>
    <w:rsid w:val="16A32AAC"/>
    <w:rsid w:val="16A602FA"/>
    <w:rsid w:val="16AD0D52"/>
    <w:rsid w:val="16AF0615"/>
    <w:rsid w:val="16BD0B49"/>
    <w:rsid w:val="16BE212C"/>
    <w:rsid w:val="16D50CFC"/>
    <w:rsid w:val="16E33AB3"/>
    <w:rsid w:val="16EB76EF"/>
    <w:rsid w:val="171B0546"/>
    <w:rsid w:val="172D32DE"/>
    <w:rsid w:val="17304A49"/>
    <w:rsid w:val="1731697D"/>
    <w:rsid w:val="173353C2"/>
    <w:rsid w:val="173B76F3"/>
    <w:rsid w:val="17551C37"/>
    <w:rsid w:val="175D177A"/>
    <w:rsid w:val="17607554"/>
    <w:rsid w:val="176E1BAD"/>
    <w:rsid w:val="177616EF"/>
    <w:rsid w:val="17770E2E"/>
    <w:rsid w:val="17786C15"/>
    <w:rsid w:val="17874ED3"/>
    <w:rsid w:val="17886A2C"/>
    <w:rsid w:val="178C5369"/>
    <w:rsid w:val="178F26E7"/>
    <w:rsid w:val="1791632F"/>
    <w:rsid w:val="17966843"/>
    <w:rsid w:val="17A9660F"/>
    <w:rsid w:val="17B26217"/>
    <w:rsid w:val="17B7246B"/>
    <w:rsid w:val="17C21C5F"/>
    <w:rsid w:val="17C50EC0"/>
    <w:rsid w:val="17C71861"/>
    <w:rsid w:val="17D11BCA"/>
    <w:rsid w:val="17D80F4C"/>
    <w:rsid w:val="17DF30CF"/>
    <w:rsid w:val="17E14521"/>
    <w:rsid w:val="18002CEE"/>
    <w:rsid w:val="18024055"/>
    <w:rsid w:val="18117661"/>
    <w:rsid w:val="182D61BD"/>
    <w:rsid w:val="18417519"/>
    <w:rsid w:val="18523ADE"/>
    <w:rsid w:val="185352EF"/>
    <w:rsid w:val="1855376D"/>
    <w:rsid w:val="1866694B"/>
    <w:rsid w:val="18695AD1"/>
    <w:rsid w:val="186C1ACE"/>
    <w:rsid w:val="18733C17"/>
    <w:rsid w:val="1875028D"/>
    <w:rsid w:val="18855695"/>
    <w:rsid w:val="188C6558"/>
    <w:rsid w:val="188C6C7D"/>
    <w:rsid w:val="18960812"/>
    <w:rsid w:val="189C7EF6"/>
    <w:rsid w:val="18A2454D"/>
    <w:rsid w:val="18B04B4D"/>
    <w:rsid w:val="18E87E12"/>
    <w:rsid w:val="18F5052C"/>
    <w:rsid w:val="190B3022"/>
    <w:rsid w:val="19126946"/>
    <w:rsid w:val="191D14D9"/>
    <w:rsid w:val="19353157"/>
    <w:rsid w:val="19693EEF"/>
    <w:rsid w:val="196B5F41"/>
    <w:rsid w:val="19786EDF"/>
    <w:rsid w:val="198D6055"/>
    <w:rsid w:val="198F07EB"/>
    <w:rsid w:val="199E1733"/>
    <w:rsid w:val="19A60417"/>
    <w:rsid w:val="19AA3328"/>
    <w:rsid w:val="19D1732F"/>
    <w:rsid w:val="19D505FC"/>
    <w:rsid w:val="19E3218E"/>
    <w:rsid w:val="19F6080B"/>
    <w:rsid w:val="19FA6E72"/>
    <w:rsid w:val="19FB705A"/>
    <w:rsid w:val="1A086D33"/>
    <w:rsid w:val="1A1C7B3F"/>
    <w:rsid w:val="1A1F3FD5"/>
    <w:rsid w:val="1A200A74"/>
    <w:rsid w:val="1A214283"/>
    <w:rsid w:val="1A2F2398"/>
    <w:rsid w:val="1A3055B8"/>
    <w:rsid w:val="1A33025B"/>
    <w:rsid w:val="1A3C21DE"/>
    <w:rsid w:val="1A5655AF"/>
    <w:rsid w:val="1A596E54"/>
    <w:rsid w:val="1A6656F5"/>
    <w:rsid w:val="1A6B5CD7"/>
    <w:rsid w:val="1A7A6856"/>
    <w:rsid w:val="1A7D574E"/>
    <w:rsid w:val="1A964DBD"/>
    <w:rsid w:val="1A9B675D"/>
    <w:rsid w:val="1A9D3722"/>
    <w:rsid w:val="1AA15844"/>
    <w:rsid w:val="1AB838DA"/>
    <w:rsid w:val="1AD12738"/>
    <w:rsid w:val="1ADE3E70"/>
    <w:rsid w:val="1AE42348"/>
    <w:rsid w:val="1AF10B1E"/>
    <w:rsid w:val="1AF2383D"/>
    <w:rsid w:val="1AF637E8"/>
    <w:rsid w:val="1B142EC2"/>
    <w:rsid w:val="1B157C1A"/>
    <w:rsid w:val="1B18309B"/>
    <w:rsid w:val="1B1A41C6"/>
    <w:rsid w:val="1B211C8A"/>
    <w:rsid w:val="1B325062"/>
    <w:rsid w:val="1B524130"/>
    <w:rsid w:val="1B5734B2"/>
    <w:rsid w:val="1B5D6081"/>
    <w:rsid w:val="1B704C75"/>
    <w:rsid w:val="1B797B22"/>
    <w:rsid w:val="1B932A95"/>
    <w:rsid w:val="1B99173F"/>
    <w:rsid w:val="1B9E5782"/>
    <w:rsid w:val="1B9F2F5B"/>
    <w:rsid w:val="1BA3161F"/>
    <w:rsid w:val="1BA31D38"/>
    <w:rsid w:val="1BB15A38"/>
    <w:rsid w:val="1BB32D92"/>
    <w:rsid w:val="1BBA5362"/>
    <w:rsid w:val="1BCA4E13"/>
    <w:rsid w:val="1BE45BB2"/>
    <w:rsid w:val="1BE67B21"/>
    <w:rsid w:val="1BE75134"/>
    <w:rsid w:val="1BEB39AC"/>
    <w:rsid w:val="1BF93919"/>
    <w:rsid w:val="1C13677A"/>
    <w:rsid w:val="1C283440"/>
    <w:rsid w:val="1C3C5A93"/>
    <w:rsid w:val="1C3D2E04"/>
    <w:rsid w:val="1C3D5C01"/>
    <w:rsid w:val="1C4852DE"/>
    <w:rsid w:val="1C4D45E0"/>
    <w:rsid w:val="1C622843"/>
    <w:rsid w:val="1C796F99"/>
    <w:rsid w:val="1C8C420B"/>
    <w:rsid w:val="1C956DAD"/>
    <w:rsid w:val="1C9E7A69"/>
    <w:rsid w:val="1CA243E3"/>
    <w:rsid w:val="1CA871FF"/>
    <w:rsid w:val="1CB701AA"/>
    <w:rsid w:val="1CC207D7"/>
    <w:rsid w:val="1CCA0F66"/>
    <w:rsid w:val="1CDE446D"/>
    <w:rsid w:val="1CE20210"/>
    <w:rsid w:val="1CE57D7C"/>
    <w:rsid w:val="1D1E39BB"/>
    <w:rsid w:val="1D2861A7"/>
    <w:rsid w:val="1D2A205C"/>
    <w:rsid w:val="1D376839"/>
    <w:rsid w:val="1D464FEE"/>
    <w:rsid w:val="1D512EC4"/>
    <w:rsid w:val="1D516316"/>
    <w:rsid w:val="1D5247B9"/>
    <w:rsid w:val="1D644902"/>
    <w:rsid w:val="1D6B4AB9"/>
    <w:rsid w:val="1D770C21"/>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023DB3"/>
    <w:rsid w:val="1F234826"/>
    <w:rsid w:val="1F282079"/>
    <w:rsid w:val="1F31288B"/>
    <w:rsid w:val="1F46170F"/>
    <w:rsid w:val="1F4773C4"/>
    <w:rsid w:val="1F544288"/>
    <w:rsid w:val="1F5E0D38"/>
    <w:rsid w:val="1F5E50F9"/>
    <w:rsid w:val="1F5F4414"/>
    <w:rsid w:val="1F734653"/>
    <w:rsid w:val="1F826970"/>
    <w:rsid w:val="1F972A67"/>
    <w:rsid w:val="1FA317AB"/>
    <w:rsid w:val="1FB24BB6"/>
    <w:rsid w:val="1FBF07C7"/>
    <w:rsid w:val="1FCB673D"/>
    <w:rsid w:val="1FD4483E"/>
    <w:rsid w:val="1FEE648E"/>
    <w:rsid w:val="1FF433BA"/>
    <w:rsid w:val="1FF9202F"/>
    <w:rsid w:val="20003026"/>
    <w:rsid w:val="20023248"/>
    <w:rsid w:val="2007268B"/>
    <w:rsid w:val="200E1BE9"/>
    <w:rsid w:val="200F3B23"/>
    <w:rsid w:val="201967D7"/>
    <w:rsid w:val="20207172"/>
    <w:rsid w:val="20374786"/>
    <w:rsid w:val="2039386F"/>
    <w:rsid w:val="204A6AED"/>
    <w:rsid w:val="205A0DCC"/>
    <w:rsid w:val="205E4F6E"/>
    <w:rsid w:val="20601C10"/>
    <w:rsid w:val="206E6FCB"/>
    <w:rsid w:val="20757C7B"/>
    <w:rsid w:val="20824D32"/>
    <w:rsid w:val="208B5C61"/>
    <w:rsid w:val="20920CDA"/>
    <w:rsid w:val="20A13861"/>
    <w:rsid w:val="20B53392"/>
    <w:rsid w:val="20BB0C31"/>
    <w:rsid w:val="20CF37FC"/>
    <w:rsid w:val="20D717F3"/>
    <w:rsid w:val="20E54719"/>
    <w:rsid w:val="20F12135"/>
    <w:rsid w:val="20F90AAC"/>
    <w:rsid w:val="20FA405B"/>
    <w:rsid w:val="210A4280"/>
    <w:rsid w:val="212456E3"/>
    <w:rsid w:val="2127702C"/>
    <w:rsid w:val="212B616E"/>
    <w:rsid w:val="213121BA"/>
    <w:rsid w:val="21476EF3"/>
    <w:rsid w:val="214A2960"/>
    <w:rsid w:val="215302B9"/>
    <w:rsid w:val="21586E20"/>
    <w:rsid w:val="217909B1"/>
    <w:rsid w:val="21831373"/>
    <w:rsid w:val="218E4A09"/>
    <w:rsid w:val="218E6399"/>
    <w:rsid w:val="21A26FC2"/>
    <w:rsid w:val="21C2743B"/>
    <w:rsid w:val="21CA2A4F"/>
    <w:rsid w:val="21CB2727"/>
    <w:rsid w:val="21DF3292"/>
    <w:rsid w:val="221D08F3"/>
    <w:rsid w:val="221D3931"/>
    <w:rsid w:val="2229623B"/>
    <w:rsid w:val="22322780"/>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1D0231"/>
    <w:rsid w:val="24351B4F"/>
    <w:rsid w:val="24576A62"/>
    <w:rsid w:val="246E76BE"/>
    <w:rsid w:val="24762507"/>
    <w:rsid w:val="24863B93"/>
    <w:rsid w:val="248E65E2"/>
    <w:rsid w:val="24B346B5"/>
    <w:rsid w:val="24B606B7"/>
    <w:rsid w:val="24DA59DC"/>
    <w:rsid w:val="24EC3BCA"/>
    <w:rsid w:val="24EF6448"/>
    <w:rsid w:val="24F71B8F"/>
    <w:rsid w:val="24F92CDE"/>
    <w:rsid w:val="2503180A"/>
    <w:rsid w:val="250C0B5D"/>
    <w:rsid w:val="25335BFF"/>
    <w:rsid w:val="253D4E51"/>
    <w:rsid w:val="25462DA6"/>
    <w:rsid w:val="257D1852"/>
    <w:rsid w:val="25893EFE"/>
    <w:rsid w:val="258E5458"/>
    <w:rsid w:val="259D3524"/>
    <w:rsid w:val="25A627CF"/>
    <w:rsid w:val="25B36FF8"/>
    <w:rsid w:val="25BE6749"/>
    <w:rsid w:val="25DE0185"/>
    <w:rsid w:val="25E04003"/>
    <w:rsid w:val="25EE6875"/>
    <w:rsid w:val="25FD346F"/>
    <w:rsid w:val="260069B3"/>
    <w:rsid w:val="26006E86"/>
    <w:rsid w:val="260A6745"/>
    <w:rsid w:val="260C334C"/>
    <w:rsid w:val="26150349"/>
    <w:rsid w:val="26276BC7"/>
    <w:rsid w:val="26412189"/>
    <w:rsid w:val="26517452"/>
    <w:rsid w:val="26566E1C"/>
    <w:rsid w:val="26876FB0"/>
    <w:rsid w:val="269171E1"/>
    <w:rsid w:val="26A10A64"/>
    <w:rsid w:val="26A24282"/>
    <w:rsid w:val="26BB6790"/>
    <w:rsid w:val="26C31398"/>
    <w:rsid w:val="26C55ACD"/>
    <w:rsid w:val="26C765D1"/>
    <w:rsid w:val="26C84C3F"/>
    <w:rsid w:val="26CA39FA"/>
    <w:rsid w:val="26DB2072"/>
    <w:rsid w:val="2707138C"/>
    <w:rsid w:val="270B135C"/>
    <w:rsid w:val="270F1235"/>
    <w:rsid w:val="27113562"/>
    <w:rsid w:val="271D238B"/>
    <w:rsid w:val="271F0CF7"/>
    <w:rsid w:val="273460AC"/>
    <w:rsid w:val="27374274"/>
    <w:rsid w:val="2737495D"/>
    <w:rsid w:val="274D6CE8"/>
    <w:rsid w:val="27660E1F"/>
    <w:rsid w:val="27674216"/>
    <w:rsid w:val="27706C4B"/>
    <w:rsid w:val="27857D18"/>
    <w:rsid w:val="27862FAB"/>
    <w:rsid w:val="278D1147"/>
    <w:rsid w:val="278F67DD"/>
    <w:rsid w:val="279569C3"/>
    <w:rsid w:val="2796736E"/>
    <w:rsid w:val="279D410D"/>
    <w:rsid w:val="279F4FD0"/>
    <w:rsid w:val="27A05EC0"/>
    <w:rsid w:val="27A56D20"/>
    <w:rsid w:val="27AD00F2"/>
    <w:rsid w:val="27B23784"/>
    <w:rsid w:val="27B778B7"/>
    <w:rsid w:val="27BC109E"/>
    <w:rsid w:val="27BE3E0B"/>
    <w:rsid w:val="27CE4805"/>
    <w:rsid w:val="27DC01C9"/>
    <w:rsid w:val="27EA6D62"/>
    <w:rsid w:val="280574E4"/>
    <w:rsid w:val="281B66CD"/>
    <w:rsid w:val="28300784"/>
    <w:rsid w:val="28422321"/>
    <w:rsid w:val="28630E79"/>
    <w:rsid w:val="28671F3A"/>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7C57DA"/>
    <w:rsid w:val="299517C8"/>
    <w:rsid w:val="29A711B7"/>
    <w:rsid w:val="29B933A4"/>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493E71"/>
    <w:rsid w:val="2A64774B"/>
    <w:rsid w:val="2A684335"/>
    <w:rsid w:val="2A77548A"/>
    <w:rsid w:val="2A7D5C08"/>
    <w:rsid w:val="2A812EEF"/>
    <w:rsid w:val="2A8853FE"/>
    <w:rsid w:val="2A8C103F"/>
    <w:rsid w:val="2AA47786"/>
    <w:rsid w:val="2AAA19F3"/>
    <w:rsid w:val="2AAD65EE"/>
    <w:rsid w:val="2AB37AED"/>
    <w:rsid w:val="2AB57714"/>
    <w:rsid w:val="2AC77380"/>
    <w:rsid w:val="2AD53ABD"/>
    <w:rsid w:val="2ADD6AFD"/>
    <w:rsid w:val="2ADE6550"/>
    <w:rsid w:val="2AFE0D9C"/>
    <w:rsid w:val="2B052B10"/>
    <w:rsid w:val="2B2E0309"/>
    <w:rsid w:val="2B422946"/>
    <w:rsid w:val="2B5B34DC"/>
    <w:rsid w:val="2B6979B0"/>
    <w:rsid w:val="2B76579E"/>
    <w:rsid w:val="2B7B1768"/>
    <w:rsid w:val="2B831E93"/>
    <w:rsid w:val="2B915120"/>
    <w:rsid w:val="2BA57D96"/>
    <w:rsid w:val="2BAE29A1"/>
    <w:rsid w:val="2BBE438D"/>
    <w:rsid w:val="2BDA1726"/>
    <w:rsid w:val="2BE373EE"/>
    <w:rsid w:val="2BEF0F16"/>
    <w:rsid w:val="2BF86B4D"/>
    <w:rsid w:val="2C0D7C62"/>
    <w:rsid w:val="2C19390E"/>
    <w:rsid w:val="2C295EB9"/>
    <w:rsid w:val="2C2B2276"/>
    <w:rsid w:val="2C2E1416"/>
    <w:rsid w:val="2C35729B"/>
    <w:rsid w:val="2C3F779F"/>
    <w:rsid w:val="2C4628DA"/>
    <w:rsid w:val="2C4E6377"/>
    <w:rsid w:val="2C4E7DDF"/>
    <w:rsid w:val="2C622710"/>
    <w:rsid w:val="2C7A1A31"/>
    <w:rsid w:val="2C7C7D79"/>
    <w:rsid w:val="2C811C54"/>
    <w:rsid w:val="2C905796"/>
    <w:rsid w:val="2C9466E2"/>
    <w:rsid w:val="2C9D624A"/>
    <w:rsid w:val="2CA171B9"/>
    <w:rsid w:val="2CA32B82"/>
    <w:rsid w:val="2CA5615D"/>
    <w:rsid w:val="2CAF6B04"/>
    <w:rsid w:val="2CB0279E"/>
    <w:rsid w:val="2CB04E97"/>
    <w:rsid w:val="2CB21108"/>
    <w:rsid w:val="2CB550AE"/>
    <w:rsid w:val="2CB71ADC"/>
    <w:rsid w:val="2CCD7DEC"/>
    <w:rsid w:val="2CD12AE5"/>
    <w:rsid w:val="2CD33BF6"/>
    <w:rsid w:val="2D33074C"/>
    <w:rsid w:val="2D350AD1"/>
    <w:rsid w:val="2D3A323B"/>
    <w:rsid w:val="2D4B55E5"/>
    <w:rsid w:val="2D53589F"/>
    <w:rsid w:val="2D6B75F2"/>
    <w:rsid w:val="2D747A4A"/>
    <w:rsid w:val="2D7646A7"/>
    <w:rsid w:val="2D7B6139"/>
    <w:rsid w:val="2D7D016C"/>
    <w:rsid w:val="2D8E1F9C"/>
    <w:rsid w:val="2D9B3777"/>
    <w:rsid w:val="2DC65AFC"/>
    <w:rsid w:val="2DDA7850"/>
    <w:rsid w:val="2DDC0104"/>
    <w:rsid w:val="2DE379BB"/>
    <w:rsid w:val="2DE469E8"/>
    <w:rsid w:val="2DFA2CD8"/>
    <w:rsid w:val="2E0177B9"/>
    <w:rsid w:val="2E034F95"/>
    <w:rsid w:val="2E131913"/>
    <w:rsid w:val="2E1C01AA"/>
    <w:rsid w:val="2E1D2BF2"/>
    <w:rsid w:val="2E244D55"/>
    <w:rsid w:val="2E2B2AF5"/>
    <w:rsid w:val="2E310DEA"/>
    <w:rsid w:val="2E3B2A47"/>
    <w:rsid w:val="2E454355"/>
    <w:rsid w:val="2E6003A4"/>
    <w:rsid w:val="2E69729D"/>
    <w:rsid w:val="2E8315DD"/>
    <w:rsid w:val="2E8543E2"/>
    <w:rsid w:val="2E97598B"/>
    <w:rsid w:val="2E9B575E"/>
    <w:rsid w:val="2EAC0176"/>
    <w:rsid w:val="2EAC0713"/>
    <w:rsid w:val="2EB809B1"/>
    <w:rsid w:val="2EB81831"/>
    <w:rsid w:val="2EBC610D"/>
    <w:rsid w:val="2ECD4221"/>
    <w:rsid w:val="2ECF7A85"/>
    <w:rsid w:val="2ED54D90"/>
    <w:rsid w:val="2EE054B3"/>
    <w:rsid w:val="2EEE6241"/>
    <w:rsid w:val="2F250C78"/>
    <w:rsid w:val="2F2B5ABF"/>
    <w:rsid w:val="2F2E604D"/>
    <w:rsid w:val="2F337441"/>
    <w:rsid w:val="2F417886"/>
    <w:rsid w:val="2F747941"/>
    <w:rsid w:val="2F882E85"/>
    <w:rsid w:val="2F9A7F4A"/>
    <w:rsid w:val="2FB06A0B"/>
    <w:rsid w:val="2FC733B8"/>
    <w:rsid w:val="2FCA4F20"/>
    <w:rsid w:val="2FD23044"/>
    <w:rsid w:val="2FDB30AB"/>
    <w:rsid w:val="2FEA6648"/>
    <w:rsid w:val="2FEB7B6C"/>
    <w:rsid w:val="2FFA7D21"/>
    <w:rsid w:val="300C4C70"/>
    <w:rsid w:val="30243B54"/>
    <w:rsid w:val="303371BB"/>
    <w:rsid w:val="303458DC"/>
    <w:rsid w:val="304117E7"/>
    <w:rsid w:val="3044399D"/>
    <w:rsid w:val="30477B1C"/>
    <w:rsid w:val="3049789B"/>
    <w:rsid w:val="305868C6"/>
    <w:rsid w:val="306445C1"/>
    <w:rsid w:val="306F3DBA"/>
    <w:rsid w:val="307F3E0B"/>
    <w:rsid w:val="30896C6B"/>
    <w:rsid w:val="308B46DE"/>
    <w:rsid w:val="30C25364"/>
    <w:rsid w:val="30D0377D"/>
    <w:rsid w:val="30D2261F"/>
    <w:rsid w:val="30DE0226"/>
    <w:rsid w:val="30ED5AE0"/>
    <w:rsid w:val="31007D5E"/>
    <w:rsid w:val="31115223"/>
    <w:rsid w:val="31263645"/>
    <w:rsid w:val="3128586A"/>
    <w:rsid w:val="312D4BC9"/>
    <w:rsid w:val="31445B9B"/>
    <w:rsid w:val="314B6917"/>
    <w:rsid w:val="3155679F"/>
    <w:rsid w:val="316B13D5"/>
    <w:rsid w:val="31720F1D"/>
    <w:rsid w:val="31745B98"/>
    <w:rsid w:val="317E525C"/>
    <w:rsid w:val="319951C3"/>
    <w:rsid w:val="31BF03E5"/>
    <w:rsid w:val="31C22815"/>
    <w:rsid w:val="31CD37E1"/>
    <w:rsid w:val="31E65427"/>
    <w:rsid w:val="31ED7C9E"/>
    <w:rsid w:val="31F43BF9"/>
    <w:rsid w:val="31F8776D"/>
    <w:rsid w:val="31F96A5C"/>
    <w:rsid w:val="31FA1424"/>
    <w:rsid w:val="31FA3784"/>
    <w:rsid w:val="31FD11B6"/>
    <w:rsid w:val="31FE3F69"/>
    <w:rsid w:val="31FF0281"/>
    <w:rsid w:val="320218B2"/>
    <w:rsid w:val="320733C3"/>
    <w:rsid w:val="320D2322"/>
    <w:rsid w:val="321C18F4"/>
    <w:rsid w:val="321C2B52"/>
    <w:rsid w:val="321F61EC"/>
    <w:rsid w:val="32342232"/>
    <w:rsid w:val="3235481D"/>
    <w:rsid w:val="32490236"/>
    <w:rsid w:val="324C044F"/>
    <w:rsid w:val="324F04DB"/>
    <w:rsid w:val="32551375"/>
    <w:rsid w:val="32702FC0"/>
    <w:rsid w:val="327144B7"/>
    <w:rsid w:val="329428E2"/>
    <w:rsid w:val="32A220FA"/>
    <w:rsid w:val="32B16932"/>
    <w:rsid w:val="32C34956"/>
    <w:rsid w:val="32CA65F9"/>
    <w:rsid w:val="32E225A9"/>
    <w:rsid w:val="33054854"/>
    <w:rsid w:val="33064DC6"/>
    <w:rsid w:val="330A16FB"/>
    <w:rsid w:val="330A4B27"/>
    <w:rsid w:val="33123E8F"/>
    <w:rsid w:val="33141FF7"/>
    <w:rsid w:val="33276B56"/>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331C6"/>
    <w:rsid w:val="33D62B96"/>
    <w:rsid w:val="33E32DB1"/>
    <w:rsid w:val="33EA04DA"/>
    <w:rsid w:val="33EB4015"/>
    <w:rsid w:val="34180EB9"/>
    <w:rsid w:val="341A72F5"/>
    <w:rsid w:val="342E2644"/>
    <w:rsid w:val="34376AB4"/>
    <w:rsid w:val="344127C5"/>
    <w:rsid w:val="344F6BB0"/>
    <w:rsid w:val="34526E6E"/>
    <w:rsid w:val="34531926"/>
    <w:rsid w:val="345728DD"/>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D963E5"/>
    <w:rsid w:val="34EA38ED"/>
    <w:rsid w:val="34F84A13"/>
    <w:rsid w:val="34FD5844"/>
    <w:rsid w:val="35004979"/>
    <w:rsid w:val="3513492F"/>
    <w:rsid w:val="35227380"/>
    <w:rsid w:val="352328E6"/>
    <w:rsid w:val="352801A9"/>
    <w:rsid w:val="35280DED"/>
    <w:rsid w:val="353F3693"/>
    <w:rsid w:val="35463167"/>
    <w:rsid w:val="35496EF9"/>
    <w:rsid w:val="356267FB"/>
    <w:rsid w:val="35665ADB"/>
    <w:rsid w:val="3572692E"/>
    <w:rsid w:val="357B34A8"/>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2E41FA"/>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455C41"/>
    <w:rsid w:val="37556EFB"/>
    <w:rsid w:val="37634C0D"/>
    <w:rsid w:val="37635AA2"/>
    <w:rsid w:val="37635FA3"/>
    <w:rsid w:val="376B480E"/>
    <w:rsid w:val="376D038A"/>
    <w:rsid w:val="378D4EC4"/>
    <w:rsid w:val="37B01FC8"/>
    <w:rsid w:val="37E4385E"/>
    <w:rsid w:val="37F7211A"/>
    <w:rsid w:val="37FD2BB1"/>
    <w:rsid w:val="38006CCB"/>
    <w:rsid w:val="380533BD"/>
    <w:rsid w:val="380639BF"/>
    <w:rsid w:val="380C13EE"/>
    <w:rsid w:val="3814089E"/>
    <w:rsid w:val="381D63E4"/>
    <w:rsid w:val="382F467C"/>
    <w:rsid w:val="383B672F"/>
    <w:rsid w:val="38454C9B"/>
    <w:rsid w:val="38696E70"/>
    <w:rsid w:val="38805EFA"/>
    <w:rsid w:val="388116C0"/>
    <w:rsid w:val="388C714F"/>
    <w:rsid w:val="38946C1E"/>
    <w:rsid w:val="38A75349"/>
    <w:rsid w:val="38E37461"/>
    <w:rsid w:val="38F1166E"/>
    <w:rsid w:val="38FA2459"/>
    <w:rsid w:val="38FC17D9"/>
    <w:rsid w:val="39105A0A"/>
    <w:rsid w:val="3915776F"/>
    <w:rsid w:val="391B76F1"/>
    <w:rsid w:val="392245B5"/>
    <w:rsid w:val="392E1C4F"/>
    <w:rsid w:val="393D721A"/>
    <w:rsid w:val="393F0F59"/>
    <w:rsid w:val="39407B45"/>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9C1C21"/>
    <w:rsid w:val="3AA15200"/>
    <w:rsid w:val="3AA254B3"/>
    <w:rsid w:val="3AAC6AC3"/>
    <w:rsid w:val="3AAC76F2"/>
    <w:rsid w:val="3ABB45B4"/>
    <w:rsid w:val="3AD8079E"/>
    <w:rsid w:val="3AE2732C"/>
    <w:rsid w:val="3AE35E4E"/>
    <w:rsid w:val="3AF05E33"/>
    <w:rsid w:val="3AF1344F"/>
    <w:rsid w:val="3AF45EEF"/>
    <w:rsid w:val="3B075A5E"/>
    <w:rsid w:val="3B0C3FE9"/>
    <w:rsid w:val="3B192958"/>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A95D2C"/>
    <w:rsid w:val="3CB0679A"/>
    <w:rsid w:val="3CB85542"/>
    <w:rsid w:val="3CC000F8"/>
    <w:rsid w:val="3CCD64DD"/>
    <w:rsid w:val="3D012553"/>
    <w:rsid w:val="3D016685"/>
    <w:rsid w:val="3D277613"/>
    <w:rsid w:val="3D2F0540"/>
    <w:rsid w:val="3D344D3B"/>
    <w:rsid w:val="3D372CA8"/>
    <w:rsid w:val="3D3734D1"/>
    <w:rsid w:val="3D3C5369"/>
    <w:rsid w:val="3D401400"/>
    <w:rsid w:val="3D471B23"/>
    <w:rsid w:val="3D66205D"/>
    <w:rsid w:val="3D6747C4"/>
    <w:rsid w:val="3D6D5EA9"/>
    <w:rsid w:val="3DA54021"/>
    <w:rsid w:val="3DB3168B"/>
    <w:rsid w:val="3DD171A7"/>
    <w:rsid w:val="3DDC1724"/>
    <w:rsid w:val="3DDC77B8"/>
    <w:rsid w:val="3DEC1B94"/>
    <w:rsid w:val="3DEF2C7A"/>
    <w:rsid w:val="3DFC55A8"/>
    <w:rsid w:val="3E0321CE"/>
    <w:rsid w:val="3E0A2205"/>
    <w:rsid w:val="3E0C5BEA"/>
    <w:rsid w:val="3E1156B0"/>
    <w:rsid w:val="3E127B19"/>
    <w:rsid w:val="3E2653DC"/>
    <w:rsid w:val="3E2B50D7"/>
    <w:rsid w:val="3E327F30"/>
    <w:rsid w:val="3E342AD6"/>
    <w:rsid w:val="3E4754A6"/>
    <w:rsid w:val="3E483E31"/>
    <w:rsid w:val="3E4F14F0"/>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35AD0"/>
    <w:rsid w:val="3F0425A9"/>
    <w:rsid w:val="3F0925C4"/>
    <w:rsid w:val="3F156AF4"/>
    <w:rsid w:val="3F1F6992"/>
    <w:rsid w:val="3F2F6BD0"/>
    <w:rsid w:val="3F304A7A"/>
    <w:rsid w:val="3F3330FC"/>
    <w:rsid w:val="3F397D57"/>
    <w:rsid w:val="3F4E48BC"/>
    <w:rsid w:val="3F4F338A"/>
    <w:rsid w:val="3F4F56AB"/>
    <w:rsid w:val="3F50050D"/>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60115"/>
    <w:rsid w:val="408E3720"/>
    <w:rsid w:val="40912007"/>
    <w:rsid w:val="40977617"/>
    <w:rsid w:val="409B357D"/>
    <w:rsid w:val="409D196D"/>
    <w:rsid w:val="40BC2DF7"/>
    <w:rsid w:val="40CE14CF"/>
    <w:rsid w:val="40CF6877"/>
    <w:rsid w:val="40D12969"/>
    <w:rsid w:val="40E01B87"/>
    <w:rsid w:val="40E86C9E"/>
    <w:rsid w:val="410848A4"/>
    <w:rsid w:val="41150CEC"/>
    <w:rsid w:val="411713CA"/>
    <w:rsid w:val="411A6663"/>
    <w:rsid w:val="41285DC8"/>
    <w:rsid w:val="412B7B2A"/>
    <w:rsid w:val="412D5086"/>
    <w:rsid w:val="412E0B45"/>
    <w:rsid w:val="415C1B80"/>
    <w:rsid w:val="416E59E3"/>
    <w:rsid w:val="417C4EC1"/>
    <w:rsid w:val="417D1AAC"/>
    <w:rsid w:val="417D640A"/>
    <w:rsid w:val="418B17B5"/>
    <w:rsid w:val="41A664B7"/>
    <w:rsid w:val="41BB5773"/>
    <w:rsid w:val="41C77842"/>
    <w:rsid w:val="41D60622"/>
    <w:rsid w:val="41DF5CBF"/>
    <w:rsid w:val="41F21222"/>
    <w:rsid w:val="42226713"/>
    <w:rsid w:val="422B2BA1"/>
    <w:rsid w:val="422C345B"/>
    <w:rsid w:val="422E4A84"/>
    <w:rsid w:val="4231785A"/>
    <w:rsid w:val="423E2CE8"/>
    <w:rsid w:val="42510BC2"/>
    <w:rsid w:val="42537272"/>
    <w:rsid w:val="425419D7"/>
    <w:rsid w:val="42584818"/>
    <w:rsid w:val="427E48C1"/>
    <w:rsid w:val="42926048"/>
    <w:rsid w:val="429B6E22"/>
    <w:rsid w:val="42B21349"/>
    <w:rsid w:val="42C418B8"/>
    <w:rsid w:val="42C845D8"/>
    <w:rsid w:val="42E4133A"/>
    <w:rsid w:val="42F47DE6"/>
    <w:rsid w:val="43121104"/>
    <w:rsid w:val="43137CD6"/>
    <w:rsid w:val="43262E27"/>
    <w:rsid w:val="43311CC6"/>
    <w:rsid w:val="43334420"/>
    <w:rsid w:val="434841F7"/>
    <w:rsid w:val="434917CF"/>
    <w:rsid w:val="434D6B99"/>
    <w:rsid w:val="435611A0"/>
    <w:rsid w:val="436B64E7"/>
    <w:rsid w:val="437C7730"/>
    <w:rsid w:val="437F792B"/>
    <w:rsid w:val="4393141E"/>
    <w:rsid w:val="439D2164"/>
    <w:rsid w:val="43BE214E"/>
    <w:rsid w:val="43C35AAF"/>
    <w:rsid w:val="43D409A3"/>
    <w:rsid w:val="43D96795"/>
    <w:rsid w:val="43ED298C"/>
    <w:rsid w:val="43EF2991"/>
    <w:rsid w:val="43F4696E"/>
    <w:rsid w:val="43FF1696"/>
    <w:rsid w:val="44160F16"/>
    <w:rsid w:val="44312E2E"/>
    <w:rsid w:val="44473AA3"/>
    <w:rsid w:val="444D28AC"/>
    <w:rsid w:val="44597BEE"/>
    <w:rsid w:val="445F053C"/>
    <w:rsid w:val="44606F35"/>
    <w:rsid w:val="447A4753"/>
    <w:rsid w:val="447B24E4"/>
    <w:rsid w:val="448E6EFF"/>
    <w:rsid w:val="449F5FB6"/>
    <w:rsid w:val="44B540B8"/>
    <w:rsid w:val="44C043A9"/>
    <w:rsid w:val="44C761A1"/>
    <w:rsid w:val="44C87A53"/>
    <w:rsid w:val="44DD300E"/>
    <w:rsid w:val="44E2656D"/>
    <w:rsid w:val="44E83AF8"/>
    <w:rsid w:val="44EB4EBB"/>
    <w:rsid w:val="44F11452"/>
    <w:rsid w:val="45087EF5"/>
    <w:rsid w:val="45177BA4"/>
    <w:rsid w:val="4519646E"/>
    <w:rsid w:val="451C551F"/>
    <w:rsid w:val="451F3CCA"/>
    <w:rsid w:val="45247468"/>
    <w:rsid w:val="45341196"/>
    <w:rsid w:val="453E4409"/>
    <w:rsid w:val="45493A4F"/>
    <w:rsid w:val="454E4188"/>
    <w:rsid w:val="45521CB0"/>
    <w:rsid w:val="45653C2A"/>
    <w:rsid w:val="45696E4B"/>
    <w:rsid w:val="45727755"/>
    <w:rsid w:val="45772C1F"/>
    <w:rsid w:val="45A80C52"/>
    <w:rsid w:val="45B860CB"/>
    <w:rsid w:val="45BA5028"/>
    <w:rsid w:val="45C421A8"/>
    <w:rsid w:val="45CA6C10"/>
    <w:rsid w:val="45D01294"/>
    <w:rsid w:val="45E03532"/>
    <w:rsid w:val="45E20B53"/>
    <w:rsid w:val="462835F1"/>
    <w:rsid w:val="462D5957"/>
    <w:rsid w:val="463D6EAF"/>
    <w:rsid w:val="46441A32"/>
    <w:rsid w:val="465346A2"/>
    <w:rsid w:val="46586687"/>
    <w:rsid w:val="466309D9"/>
    <w:rsid w:val="466520C5"/>
    <w:rsid w:val="466A2150"/>
    <w:rsid w:val="466D3B0A"/>
    <w:rsid w:val="46724076"/>
    <w:rsid w:val="46844FFB"/>
    <w:rsid w:val="46864313"/>
    <w:rsid w:val="468C15DE"/>
    <w:rsid w:val="468F344C"/>
    <w:rsid w:val="468F5973"/>
    <w:rsid w:val="46971C0C"/>
    <w:rsid w:val="46BD4DF4"/>
    <w:rsid w:val="46CA623A"/>
    <w:rsid w:val="46CE17A4"/>
    <w:rsid w:val="46D61B6B"/>
    <w:rsid w:val="46D62104"/>
    <w:rsid w:val="46D81406"/>
    <w:rsid w:val="46FD3DD0"/>
    <w:rsid w:val="47006BB2"/>
    <w:rsid w:val="470103E6"/>
    <w:rsid w:val="47025742"/>
    <w:rsid w:val="47111E3A"/>
    <w:rsid w:val="4712364C"/>
    <w:rsid w:val="47143A7B"/>
    <w:rsid w:val="472C59BD"/>
    <w:rsid w:val="472D3683"/>
    <w:rsid w:val="473B416A"/>
    <w:rsid w:val="473B7E9E"/>
    <w:rsid w:val="47453C8F"/>
    <w:rsid w:val="47597C98"/>
    <w:rsid w:val="475B3378"/>
    <w:rsid w:val="475F227A"/>
    <w:rsid w:val="4766347D"/>
    <w:rsid w:val="476B37C7"/>
    <w:rsid w:val="47810A72"/>
    <w:rsid w:val="47846D6F"/>
    <w:rsid w:val="478D4609"/>
    <w:rsid w:val="478D6A12"/>
    <w:rsid w:val="479F1D2B"/>
    <w:rsid w:val="479F5DF0"/>
    <w:rsid w:val="47A32AF0"/>
    <w:rsid w:val="47AA0F81"/>
    <w:rsid w:val="47AF032C"/>
    <w:rsid w:val="47B215BE"/>
    <w:rsid w:val="47B4742B"/>
    <w:rsid w:val="47BA0CEF"/>
    <w:rsid w:val="47EA4D37"/>
    <w:rsid w:val="47EC146A"/>
    <w:rsid w:val="480E5468"/>
    <w:rsid w:val="482A2340"/>
    <w:rsid w:val="48334280"/>
    <w:rsid w:val="48386782"/>
    <w:rsid w:val="48403192"/>
    <w:rsid w:val="4842585E"/>
    <w:rsid w:val="48455013"/>
    <w:rsid w:val="484B7369"/>
    <w:rsid w:val="485074E9"/>
    <w:rsid w:val="4860215B"/>
    <w:rsid w:val="486A4EB9"/>
    <w:rsid w:val="487F3DD6"/>
    <w:rsid w:val="48811612"/>
    <w:rsid w:val="488818E0"/>
    <w:rsid w:val="48AF41DC"/>
    <w:rsid w:val="48B40A80"/>
    <w:rsid w:val="48B464F4"/>
    <w:rsid w:val="48DA475A"/>
    <w:rsid w:val="48E06989"/>
    <w:rsid w:val="48E4345B"/>
    <w:rsid w:val="48E918F3"/>
    <w:rsid w:val="48E92C88"/>
    <w:rsid w:val="48EB1D85"/>
    <w:rsid w:val="490F46AA"/>
    <w:rsid w:val="492B3740"/>
    <w:rsid w:val="4941092D"/>
    <w:rsid w:val="494C141C"/>
    <w:rsid w:val="495904E7"/>
    <w:rsid w:val="495D5CF9"/>
    <w:rsid w:val="4987544D"/>
    <w:rsid w:val="498E60E7"/>
    <w:rsid w:val="499D65A5"/>
    <w:rsid w:val="49A90D09"/>
    <w:rsid w:val="49AE3D92"/>
    <w:rsid w:val="49B20704"/>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12EF2"/>
    <w:rsid w:val="4A863FBD"/>
    <w:rsid w:val="4A8D2B3B"/>
    <w:rsid w:val="4A9207C2"/>
    <w:rsid w:val="4A987CDE"/>
    <w:rsid w:val="4A9E5BA3"/>
    <w:rsid w:val="4AA2049C"/>
    <w:rsid w:val="4AA927DF"/>
    <w:rsid w:val="4ABD2CBE"/>
    <w:rsid w:val="4AC86408"/>
    <w:rsid w:val="4ACA49FA"/>
    <w:rsid w:val="4AD97487"/>
    <w:rsid w:val="4ADE3862"/>
    <w:rsid w:val="4ADE5D27"/>
    <w:rsid w:val="4ADF1A70"/>
    <w:rsid w:val="4AE8469B"/>
    <w:rsid w:val="4AE97D8E"/>
    <w:rsid w:val="4AED30D2"/>
    <w:rsid w:val="4AF05435"/>
    <w:rsid w:val="4AFE1C1B"/>
    <w:rsid w:val="4B15782A"/>
    <w:rsid w:val="4B1912C0"/>
    <w:rsid w:val="4B1B03A7"/>
    <w:rsid w:val="4B1B086E"/>
    <w:rsid w:val="4B503DE9"/>
    <w:rsid w:val="4B524CF5"/>
    <w:rsid w:val="4B572FF0"/>
    <w:rsid w:val="4B592E57"/>
    <w:rsid w:val="4B660513"/>
    <w:rsid w:val="4B692AB0"/>
    <w:rsid w:val="4B731311"/>
    <w:rsid w:val="4B731E90"/>
    <w:rsid w:val="4B7941F8"/>
    <w:rsid w:val="4B795D25"/>
    <w:rsid w:val="4B9A2375"/>
    <w:rsid w:val="4BAA6159"/>
    <w:rsid w:val="4BAE6C56"/>
    <w:rsid w:val="4C0B7F8D"/>
    <w:rsid w:val="4C10281F"/>
    <w:rsid w:val="4C1F7A5B"/>
    <w:rsid w:val="4C2E41A3"/>
    <w:rsid w:val="4C472A9A"/>
    <w:rsid w:val="4C581EF4"/>
    <w:rsid w:val="4C8826F9"/>
    <w:rsid w:val="4C9A5F96"/>
    <w:rsid w:val="4C9B7DE3"/>
    <w:rsid w:val="4CA178A3"/>
    <w:rsid w:val="4CA37636"/>
    <w:rsid w:val="4CB3138C"/>
    <w:rsid w:val="4CBC47B7"/>
    <w:rsid w:val="4CBE1543"/>
    <w:rsid w:val="4CBE4760"/>
    <w:rsid w:val="4CC63570"/>
    <w:rsid w:val="4CCC2062"/>
    <w:rsid w:val="4CE26759"/>
    <w:rsid w:val="4CF02D19"/>
    <w:rsid w:val="4CF86DA4"/>
    <w:rsid w:val="4D020DA5"/>
    <w:rsid w:val="4D0D52CB"/>
    <w:rsid w:val="4D362722"/>
    <w:rsid w:val="4D566C49"/>
    <w:rsid w:val="4D6037A5"/>
    <w:rsid w:val="4D743AA4"/>
    <w:rsid w:val="4D7562CD"/>
    <w:rsid w:val="4D782194"/>
    <w:rsid w:val="4D825D86"/>
    <w:rsid w:val="4D993267"/>
    <w:rsid w:val="4DA1355F"/>
    <w:rsid w:val="4DA537BB"/>
    <w:rsid w:val="4DF67531"/>
    <w:rsid w:val="4DF9062B"/>
    <w:rsid w:val="4DFF0A45"/>
    <w:rsid w:val="4E014EF8"/>
    <w:rsid w:val="4E066E93"/>
    <w:rsid w:val="4E1C3972"/>
    <w:rsid w:val="4E1D7E77"/>
    <w:rsid w:val="4E236A05"/>
    <w:rsid w:val="4E51451A"/>
    <w:rsid w:val="4E5311AE"/>
    <w:rsid w:val="4E5B24E9"/>
    <w:rsid w:val="4E6B33C9"/>
    <w:rsid w:val="4E773DD7"/>
    <w:rsid w:val="4EC11B63"/>
    <w:rsid w:val="4EDC712B"/>
    <w:rsid w:val="4EE57B61"/>
    <w:rsid w:val="4EE8474B"/>
    <w:rsid w:val="4EF614BA"/>
    <w:rsid w:val="4EF62402"/>
    <w:rsid w:val="4EF7467D"/>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12960"/>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201E8"/>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01AC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03D09"/>
    <w:rsid w:val="522211F9"/>
    <w:rsid w:val="522B39FB"/>
    <w:rsid w:val="522E1DAF"/>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131C59"/>
    <w:rsid w:val="532C6492"/>
    <w:rsid w:val="533268AC"/>
    <w:rsid w:val="53345BA9"/>
    <w:rsid w:val="53396085"/>
    <w:rsid w:val="53452217"/>
    <w:rsid w:val="53636927"/>
    <w:rsid w:val="53670639"/>
    <w:rsid w:val="537B56BB"/>
    <w:rsid w:val="53A3208D"/>
    <w:rsid w:val="53B84C8E"/>
    <w:rsid w:val="53BC23E8"/>
    <w:rsid w:val="53DC10D6"/>
    <w:rsid w:val="53F52A77"/>
    <w:rsid w:val="53FD5774"/>
    <w:rsid w:val="5414272D"/>
    <w:rsid w:val="541545B9"/>
    <w:rsid w:val="54346879"/>
    <w:rsid w:val="5440257B"/>
    <w:rsid w:val="54437867"/>
    <w:rsid w:val="544F3292"/>
    <w:rsid w:val="54571FF6"/>
    <w:rsid w:val="546C6CDD"/>
    <w:rsid w:val="54710304"/>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8E7244"/>
    <w:rsid w:val="559665D7"/>
    <w:rsid w:val="559A22C4"/>
    <w:rsid w:val="559F228F"/>
    <w:rsid w:val="55B30AC0"/>
    <w:rsid w:val="55B44897"/>
    <w:rsid w:val="55B54251"/>
    <w:rsid w:val="55C671C8"/>
    <w:rsid w:val="55E8090D"/>
    <w:rsid w:val="55F32385"/>
    <w:rsid w:val="560330F4"/>
    <w:rsid w:val="562A1609"/>
    <w:rsid w:val="563F74A4"/>
    <w:rsid w:val="56531ADC"/>
    <w:rsid w:val="56537757"/>
    <w:rsid w:val="566B53D2"/>
    <w:rsid w:val="566E0237"/>
    <w:rsid w:val="567B1141"/>
    <w:rsid w:val="567B2684"/>
    <w:rsid w:val="569A3398"/>
    <w:rsid w:val="569B19FB"/>
    <w:rsid w:val="56A655BD"/>
    <w:rsid w:val="56AD7471"/>
    <w:rsid w:val="56D7078F"/>
    <w:rsid w:val="56EB3361"/>
    <w:rsid w:val="56F15F2E"/>
    <w:rsid w:val="56F40954"/>
    <w:rsid w:val="56F72F30"/>
    <w:rsid w:val="56FB4793"/>
    <w:rsid w:val="56FE64E1"/>
    <w:rsid w:val="570D256E"/>
    <w:rsid w:val="570F6B39"/>
    <w:rsid w:val="572926B1"/>
    <w:rsid w:val="57301450"/>
    <w:rsid w:val="5753468B"/>
    <w:rsid w:val="57557573"/>
    <w:rsid w:val="575B3101"/>
    <w:rsid w:val="5760479D"/>
    <w:rsid w:val="576D43D6"/>
    <w:rsid w:val="577058D7"/>
    <w:rsid w:val="577949A8"/>
    <w:rsid w:val="5779650A"/>
    <w:rsid w:val="57AA1EC2"/>
    <w:rsid w:val="57B6636A"/>
    <w:rsid w:val="57BA33E6"/>
    <w:rsid w:val="57CB6745"/>
    <w:rsid w:val="57F25C54"/>
    <w:rsid w:val="58037259"/>
    <w:rsid w:val="580B1E0B"/>
    <w:rsid w:val="58164A86"/>
    <w:rsid w:val="58220694"/>
    <w:rsid w:val="582E42C9"/>
    <w:rsid w:val="583E0151"/>
    <w:rsid w:val="58603614"/>
    <w:rsid w:val="58615E6E"/>
    <w:rsid w:val="58635793"/>
    <w:rsid w:val="586513D9"/>
    <w:rsid w:val="58784075"/>
    <w:rsid w:val="588C11D6"/>
    <w:rsid w:val="588E2101"/>
    <w:rsid w:val="589148A0"/>
    <w:rsid w:val="58980EE8"/>
    <w:rsid w:val="58B33EAF"/>
    <w:rsid w:val="58E107E9"/>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84534"/>
    <w:rsid w:val="59CA0DF6"/>
    <w:rsid w:val="59D05539"/>
    <w:rsid w:val="59E12D2E"/>
    <w:rsid w:val="59E23321"/>
    <w:rsid w:val="59E56E97"/>
    <w:rsid w:val="59EE0B0E"/>
    <w:rsid w:val="59F90777"/>
    <w:rsid w:val="5A15188A"/>
    <w:rsid w:val="5A1B27B8"/>
    <w:rsid w:val="5A1F21C8"/>
    <w:rsid w:val="5A2052D4"/>
    <w:rsid w:val="5A206EAC"/>
    <w:rsid w:val="5A321E81"/>
    <w:rsid w:val="5A41505E"/>
    <w:rsid w:val="5A501714"/>
    <w:rsid w:val="5A556CC9"/>
    <w:rsid w:val="5A60385B"/>
    <w:rsid w:val="5A620926"/>
    <w:rsid w:val="5A684BC1"/>
    <w:rsid w:val="5A85441E"/>
    <w:rsid w:val="5AAA1D47"/>
    <w:rsid w:val="5AB404D1"/>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45DD5"/>
    <w:rsid w:val="5B3E3090"/>
    <w:rsid w:val="5B4211AC"/>
    <w:rsid w:val="5B563203"/>
    <w:rsid w:val="5B58567D"/>
    <w:rsid w:val="5B736DFC"/>
    <w:rsid w:val="5B74248A"/>
    <w:rsid w:val="5B743134"/>
    <w:rsid w:val="5B7C3A7D"/>
    <w:rsid w:val="5B833551"/>
    <w:rsid w:val="5B8675CA"/>
    <w:rsid w:val="5BA652CD"/>
    <w:rsid w:val="5BAB7A8E"/>
    <w:rsid w:val="5BD42780"/>
    <w:rsid w:val="5BD859BE"/>
    <w:rsid w:val="5BDA1A02"/>
    <w:rsid w:val="5BDA3815"/>
    <w:rsid w:val="5BED0E14"/>
    <w:rsid w:val="5C037471"/>
    <w:rsid w:val="5C100E26"/>
    <w:rsid w:val="5C1A5628"/>
    <w:rsid w:val="5C2811B8"/>
    <w:rsid w:val="5C283752"/>
    <w:rsid w:val="5C4C3CC9"/>
    <w:rsid w:val="5C530FB9"/>
    <w:rsid w:val="5C5C59BB"/>
    <w:rsid w:val="5C656538"/>
    <w:rsid w:val="5C686404"/>
    <w:rsid w:val="5C6A1E8C"/>
    <w:rsid w:val="5C6F3AA2"/>
    <w:rsid w:val="5C85298F"/>
    <w:rsid w:val="5C866408"/>
    <w:rsid w:val="5CCD7C02"/>
    <w:rsid w:val="5CDC5778"/>
    <w:rsid w:val="5CE70DB3"/>
    <w:rsid w:val="5CEB1C89"/>
    <w:rsid w:val="5CF20C05"/>
    <w:rsid w:val="5CF4707B"/>
    <w:rsid w:val="5CF617C9"/>
    <w:rsid w:val="5CFA5FCC"/>
    <w:rsid w:val="5D047764"/>
    <w:rsid w:val="5D047EE8"/>
    <w:rsid w:val="5D126228"/>
    <w:rsid w:val="5D1949C1"/>
    <w:rsid w:val="5D1B7CA4"/>
    <w:rsid w:val="5D1F3C0E"/>
    <w:rsid w:val="5D265AC7"/>
    <w:rsid w:val="5D2A1890"/>
    <w:rsid w:val="5D2B3523"/>
    <w:rsid w:val="5D3A42DC"/>
    <w:rsid w:val="5D4962D8"/>
    <w:rsid w:val="5D59774A"/>
    <w:rsid w:val="5D657945"/>
    <w:rsid w:val="5D7A7533"/>
    <w:rsid w:val="5D98434B"/>
    <w:rsid w:val="5DA41CA9"/>
    <w:rsid w:val="5DA759DF"/>
    <w:rsid w:val="5DCE771F"/>
    <w:rsid w:val="5DD01F66"/>
    <w:rsid w:val="5DD3556C"/>
    <w:rsid w:val="5DDC34B6"/>
    <w:rsid w:val="5DE6704B"/>
    <w:rsid w:val="5DEC3B70"/>
    <w:rsid w:val="5DF84369"/>
    <w:rsid w:val="5DF92DCB"/>
    <w:rsid w:val="5E091FB5"/>
    <w:rsid w:val="5E0C7A7F"/>
    <w:rsid w:val="5E184D9B"/>
    <w:rsid w:val="5E280CB5"/>
    <w:rsid w:val="5E30253D"/>
    <w:rsid w:val="5E447267"/>
    <w:rsid w:val="5E4A572D"/>
    <w:rsid w:val="5E503443"/>
    <w:rsid w:val="5E5667A6"/>
    <w:rsid w:val="5E676802"/>
    <w:rsid w:val="5E6C7C78"/>
    <w:rsid w:val="5E72699B"/>
    <w:rsid w:val="5E7C48A0"/>
    <w:rsid w:val="5E815CED"/>
    <w:rsid w:val="5E887A26"/>
    <w:rsid w:val="5EC51A75"/>
    <w:rsid w:val="5EC56393"/>
    <w:rsid w:val="5ED80695"/>
    <w:rsid w:val="5EF078DD"/>
    <w:rsid w:val="5EFC3B4B"/>
    <w:rsid w:val="5EFE34A1"/>
    <w:rsid w:val="5F060F32"/>
    <w:rsid w:val="5F173FD8"/>
    <w:rsid w:val="5F2D5831"/>
    <w:rsid w:val="5F3813FB"/>
    <w:rsid w:val="5F6A15CC"/>
    <w:rsid w:val="5F6C1B0E"/>
    <w:rsid w:val="5F6E2815"/>
    <w:rsid w:val="5F7C06D8"/>
    <w:rsid w:val="5F9A6E65"/>
    <w:rsid w:val="5FB11334"/>
    <w:rsid w:val="5FCC0E64"/>
    <w:rsid w:val="5FD9462B"/>
    <w:rsid w:val="5FDD41A5"/>
    <w:rsid w:val="5FE138F7"/>
    <w:rsid w:val="5FEF2F82"/>
    <w:rsid w:val="5FFB6305"/>
    <w:rsid w:val="60011320"/>
    <w:rsid w:val="600A0FBC"/>
    <w:rsid w:val="600F1B92"/>
    <w:rsid w:val="602C76B3"/>
    <w:rsid w:val="60356A78"/>
    <w:rsid w:val="603703A7"/>
    <w:rsid w:val="6057025C"/>
    <w:rsid w:val="60686FE8"/>
    <w:rsid w:val="606F133D"/>
    <w:rsid w:val="607F2EC7"/>
    <w:rsid w:val="60916901"/>
    <w:rsid w:val="60981D0D"/>
    <w:rsid w:val="60993336"/>
    <w:rsid w:val="60A27DAC"/>
    <w:rsid w:val="60B31978"/>
    <w:rsid w:val="60B91733"/>
    <w:rsid w:val="60BA4D73"/>
    <w:rsid w:val="60BE0FCD"/>
    <w:rsid w:val="60E4794E"/>
    <w:rsid w:val="60EC1304"/>
    <w:rsid w:val="61057C99"/>
    <w:rsid w:val="610B115D"/>
    <w:rsid w:val="612650A2"/>
    <w:rsid w:val="61275225"/>
    <w:rsid w:val="612C0D97"/>
    <w:rsid w:val="614041D7"/>
    <w:rsid w:val="61407350"/>
    <w:rsid w:val="6158340A"/>
    <w:rsid w:val="615D2B61"/>
    <w:rsid w:val="6167419C"/>
    <w:rsid w:val="616C655B"/>
    <w:rsid w:val="616E381D"/>
    <w:rsid w:val="61A21ED5"/>
    <w:rsid w:val="61BA5EFD"/>
    <w:rsid w:val="61BB5E1F"/>
    <w:rsid w:val="61C7660C"/>
    <w:rsid w:val="61D81BE2"/>
    <w:rsid w:val="61E93AD6"/>
    <w:rsid w:val="620100B1"/>
    <w:rsid w:val="621165DD"/>
    <w:rsid w:val="62190F45"/>
    <w:rsid w:val="62193B80"/>
    <w:rsid w:val="621B4181"/>
    <w:rsid w:val="62353B47"/>
    <w:rsid w:val="624076D6"/>
    <w:rsid w:val="62594A3F"/>
    <w:rsid w:val="62625E3B"/>
    <w:rsid w:val="626B4F1C"/>
    <w:rsid w:val="62760400"/>
    <w:rsid w:val="62836620"/>
    <w:rsid w:val="628B1EAF"/>
    <w:rsid w:val="628C53F9"/>
    <w:rsid w:val="629A25D8"/>
    <w:rsid w:val="62A20B07"/>
    <w:rsid w:val="62A414E0"/>
    <w:rsid w:val="62CC77CB"/>
    <w:rsid w:val="62F31DC3"/>
    <w:rsid w:val="62F3784F"/>
    <w:rsid w:val="62FF3FB5"/>
    <w:rsid w:val="63021DE2"/>
    <w:rsid w:val="63112339"/>
    <w:rsid w:val="632C2662"/>
    <w:rsid w:val="63417E7B"/>
    <w:rsid w:val="63507A3A"/>
    <w:rsid w:val="639024F9"/>
    <w:rsid w:val="63AA5332"/>
    <w:rsid w:val="63BE101D"/>
    <w:rsid w:val="63BF56EA"/>
    <w:rsid w:val="63C37AE1"/>
    <w:rsid w:val="63C61233"/>
    <w:rsid w:val="63C65975"/>
    <w:rsid w:val="63FF6AFB"/>
    <w:rsid w:val="6422154F"/>
    <w:rsid w:val="642A2A58"/>
    <w:rsid w:val="642F0F0D"/>
    <w:rsid w:val="642F18AF"/>
    <w:rsid w:val="64370026"/>
    <w:rsid w:val="64391A57"/>
    <w:rsid w:val="6451389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62E5"/>
    <w:rsid w:val="65A57048"/>
    <w:rsid w:val="65A80873"/>
    <w:rsid w:val="65B50E5A"/>
    <w:rsid w:val="65D522AE"/>
    <w:rsid w:val="65D54781"/>
    <w:rsid w:val="65D73F1F"/>
    <w:rsid w:val="65E06427"/>
    <w:rsid w:val="65F24A77"/>
    <w:rsid w:val="660148D8"/>
    <w:rsid w:val="660867AF"/>
    <w:rsid w:val="661A7503"/>
    <w:rsid w:val="662077F8"/>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5D4C81"/>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043E4"/>
    <w:rsid w:val="68525B9B"/>
    <w:rsid w:val="685271AF"/>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8C284C"/>
    <w:rsid w:val="69930E11"/>
    <w:rsid w:val="699A5F99"/>
    <w:rsid w:val="699C0EF8"/>
    <w:rsid w:val="69AB5DBB"/>
    <w:rsid w:val="69B7386F"/>
    <w:rsid w:val="69B7395C"/>
    <w:rsid w:val="69B840F1"/>
    <w:rsid w:val="69B86FDA"/>
    <w:rsid w:val="69C47EA2"/>
    <w:rsid w:val="69C91948"/>
    <w:rsid w:val="6A1E2115"/>
    <w:rsid w:val="6A2826A1"/>
    <w:rsid w:val="6A2A7760"/>
    <w:rsid w:val="6A3863E4"/>
    <w:rsid w:val="6A4E56A1"/>
    <w:rsid w:val="6A551347"/>
    <w:rsid w:val="6A5660EE"/>
    <w:rsid w:val="6A5D1911"/>
    <w:rsid w:val="6A5D1CAD"/>
    <w:rsid w:val="6A9F3407"/>
    <w:rsid w:val="6AA45AEE"/>
    <w:rsid w:val="6AAA05A9"/>
    <w:rsid w:val="6AAA7D05"/>
    <w:rsid w:val="6AC2581C"/>
    <w:rsid w:val="6ACA46EF"/>
    <w:rsid w:val="6AD729B6"/>
    <w:rsid w:val="6ADE6678"/>
    <w:rsid w:val="6AE068FC"/>
    <w:rsid w:val="6AE60B4C"/>
    <w:rsid w:val="6B096A1E"/>
    <w:rsid w:val="6B1F6776"/>
    <w:rsid w:val="6B3529D0"/>
    <w:rsid w:val="6B3C6A10"/>
    <w:rsid w:val="6B532C58"/>
    <w:rsid w:val="6B5B3158"/>
    <w:rsid w:val="6B726A7C"/>
    <w:rsid w:val="6B786951"/>
    <w:rsid w:val="6B8902B7"/>
    <w:rsid w:val="6B945B80"/>
    <w:rsid w:val="6B9D4DE1"/>
    <w:rsid w:val="6BA87CE1"/>
    <w:rsid w:val="6BBA5C26"/>
    <w:rsid w:val="6BBE0ADD"/>
    <w:rsid w:val="6BC041B4"/>
    <w:rsid w:val="6BC644EC"/>
    <w:rsid w:val="6BE60592"/>
    <w:rsid w:val="6BE963BE"/>
    <w:rsid w:val="6BF54FD0"/>
    <w:rsid w:val="6C022AB0"/>
    <w:rsid w:val="6C0F365E"/>
    <w:rsid w:val="6C1E4248"/>
    <w:rsid w:val="6C2B73E4"/>
    <w:rsid w:val="6C2E2CA9"/>
    <w:rsid w:val="6C3E3641"/>
    <w:rsid w:val="6C5C503C"/>
    <w:rsid w:val="6C5D2BAE"/>
    <w:rsid w:val="6C63093B"/>
    <w:rsid w:val="6C740601"/>
    <w:rsid w:val="6CA45DE1"/>
    <w:rsid w:val="6CAF5A8D"/>
    <w:rsid w:val="6CC47301"/>
    <w:rsid w:val="6CD85C69"/>
    <w:rsid w:val="6CF74F9B"/>
    <w:rsid w:val="6D005EF7"/>
    <w:rsid w:val="6D24615E"/>
    <w:rsid w:val="6D344A05"/>
    <w:rsid w:val="6D464DCC"/>
    <w:rsid w:val="6D47048F"/>
    <w:rsid w:val="6D4B053C"/>
    <w:rsid w:val="6D616216"/>
    <w:rsid w:val="6D6263F4"/>
    <w:rsid w:val="6D6A77F1"/>
    <w:rsid w:val="6D7A5417"/>
    <w:rsid w:val="6D82717B"/>
    <w:rsid w:val="6D864BA0"/>
    <w:rsid w:val="6D932C97"/>
    <w:rsid w:val="6D9D391A"/>
    <w:rsid w:val="6DA225C5"/>
    <w:rsid w:val="6DA25119"/>
    <w:rsid w:val="6DB17B56"/>
    <w:rsid w:val="6DB630F7"/>
    <w:rsid w:val="6DC213CD"/>
    <w:rsid w:val="6DDA2AD0"/>
    <w:rsid w:val="6DF3029B"/>
    <w:rsid w:val="6DF83116"/>
    <w:rsid w:val="6E04099A"/>
    <w:rsid w:val="6E0E61FC"/>
    <w:rsid w:val="6E3101C1"/>
    <w:rsid w:val="6E451A64"/>
    <w:rsid w:val="6E585527"/>
    <w:rsid w:val="6E5E11FA"/>
    <w:rsid w:val="6E67698D"/>
    <w:rsid w:val="6E6839F7"/>
    <w:rsid w:val="6E6C1EEA"/>
    <w:rsid w:val="6E6F6D4B"/>
    <w:rsid w:val="6E733F82"/>
    <w:rsid w:val="6E874489"/>
    <w:rsid w:val="6EA0744D"/>
    <w:rsid w:val="6EA3291D"/>
    <w:rsid w:val="6EA67504"/>
    <w:rsid w:val="6EB075E8"/>
    <w:rsid w:val="6EB46906"/>
    <w:rsid w:val="6EDD75A0"/>
    <w:rsid w:val="6EE05A61"/>
    <w:rsid w:val="6EE969DB"/>
    <w:rsid w:val="6EEF64D8"/>
    <w:rsid w:val="6F0D2298"/>
    <w:rsid w:val="6F1F678A"/>
    <w:rsid w:val="6F2F21E0"/>
    <w:rsid w:val="6F371459"/>
    <w:rsid w:val="6F37324B"/>
    <w:rsid w:val="6F4501D2"/>
    <w:rsid w:val="6F4B77AB"/>
    <w:rsid w:val="6F502FCD"/>
    <w:rsid w:val="6F5A407F"/>
    <w:rsid w:val="6F9045BD"/>
    <w:rsid w:val="6F92083A"/>
    <w:rsid w:val="6F991282"/>
    <w:rsid w:val="6FAD4095"/>
    <w:rsid w:val="6FAF5BF4"/>
    <w:rsid w:val="6FB0436A"/>
    <w:rsid w:val="6FB94701"/>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0D4579F"/>
    <w:rsid w:val="710003A8"/>
    <w:rsid w:val="710F0BB8"/>
    <w:rsid w:val="71190285"/>
    <w:rsid w:val="71194261"/>
    <w:rsid w:val="711C5BB5"/>
    <w:rsid w:val="71404446"/>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162F09"/>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EC5313"/>
    <w:rsid w:val="72ED732C"/>
    <w:rsid w:val="72FD0906"/>
    <w:rsid w:val="730333E9"/>
    <w:rsid w:val="73281086"/>
    <w:rsid w:val="73405A89"/>
    <w:rsid w:val="73795D74"/>
    <w:rsid w:val="738D5D75"/>
    <w:rsid w:val="739509FA"/>
    <w:rsid w:val="73A80755"/>
    <w:rsid w:val="73B845C4"/>
    <w:rsid w:val="73C4164C"/>
    <w:rsid w:val="73CC653A"/>
    <w:rsid w:val="73CC7B9B"/>
    <w:rsid w:val="73CF4E08"/>
    <w:rsid w:val="73D159A1"/>
    <w:rsid w:val="73F35C20"/>
    <w:rsid w:val="73F62412"/>
    <w:rsid w:val="73F8462A"/>
    <w:rsid w:val="741640DF"/>
    <w:rsid w:val="741D2D43"/>
    <w:rsid w:val="74272AC2"/>
    <w:rsid w:val="74306B8E"/>
    <w:rsid w:val="74366914"/>
    <w:rsid w:val="744271F3"/>
    <w:rsid w:val="745F4062"/>
    <w:rsid w:val="746B51AF"/>
    <w:rsid w:val="74764B0B"/>
    <w:rsid w:val="7486761F"/>
    <w:rsid w:val="7487699B"/>
    <w:rsid w:val="748E4BFA"/>
    <w:rsid w:val="74A32C1C"/>
    <w:rsid w:val="74D65D6C"/>
    <w:rsid w:val="74DF558B"/>
    <w:rsid w:val="74EE1D1B"/>
    <w:rsid w:val="74F826B3"/>
    <w:rsid w:val="75033632"/>
    <w:rsid w:val="75067D82"/>
    <w:rsid w:val="75091006"/>
    <w:rsid w:val="750B7FF3"/>
    <w:rsid w:val="75152359"/>
    <w:rsid w:val="7517680B"/>
    <w:rsid w:val="751E0DB8"/>
    <w:rsid w:val="751F4296"/>
    <w:rsid w:val="752955C7"/>
    <w:rsid w:val="752A1251"/>
    <w:rsid w:val="75435EC1"/>
    <w:rsid w:val="75473AB6"/>
    <w:rsid w:val="755A639D"/>
    <w:rsid w:val="75612341"/>
    <w:rsid w:val="75795C17"/>
    <w:rsid w:val="75807DBF"/>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B0ECA"/>
    <w:rsid w:val="76ED1347"/>
    <w:rsid w:val="76F433E8"/>
    <w:rsid w:val="77183E7D"/>
    <w:rsid w:val="771946D8"/>
    <w:rsid w:val="771A42A1"/>
    <w:rsid w:val="772268FD"/>
    <w:rsid w:val="77355D35"/>
    <w:rsid w:val="77474684"/>
    <w:rsid w:val="775666E2"/>
    <w:rsid w:val="779205B0"/>
    <w:rsid w:val="7792660F"/>
    <w:rsid w:val="77A26022"/>
    <w:rsid w:val="77A82770"/>
    <w:rsid w:val="77B01B2E"/>
    <w:rsid w:val="77BD7E72"/>
    <w:rsid w:val="77C87E3E"/>
    <w:rsid w:val="77ED0386"/>
    <w:rsid w:val="77F41D67"/>
    <w:rsid w:val="77F72469"/>
    <w:rsid w:val="77F7547B"/>
    <w:rsid w:val="78006B8A"/>
    <w:rsid w:val="78366B8C"/>
    <w:rsid w:val="783B287A"/>
    <w:rsid w:val="78482C69"/>
    <w:rsid w:val="784E2073"/>
    <w:rsid w:val="785D75AE"/>
    <w:rsid w:val="785F4041"/>
    <w:rsid w:val="788B3E1B"/>
    <w:rsid w:val="78AE6E9C"/>
    <w:rsid w:val="78B43B82"/>
    <w:rsid w:val="78BB76EA"/>
    <w:rsid w:val="78F65C61"/>
    <w:rsid w:val="78FB1BD1"/>
    <w:rsid w:val="79047B25"/>
    <w:rsid w:val="79072F5A"/>
    <w:rsid w:val="791042B9"/>
    <w:rsid w:val="79146E6B"/>
    <w:rsid w:val="79213328"/>
    <w:rsid w:val="792705B6"/>
    <w:rsid w:val="79364FF2"/>
    <w:rsid w:val="79403759"/>
    <w:rsid w:val="79423C50"/>
    <w:rsid w:val="7954140E"/>
    <w:rsid w:val="7964511F"/>
    <w:rsid w:val="798C6EC4"/>
    <w:rsid w:val="798E2873"/>
    <w:rsid w:val="799E7491"/>
    <w:rsid w:val="799F3F47"/>
    <w:rsid w:val="79A72484"/>
    <w:rsid w:val="79BA02B6"/>
    <w:rsid w:val="79BA471D"/>
    <w:rsid w:val="79C32E74"/>
    <w:rsid w:val="79C677D6"/>
    <w:rsid w:val="79DB1308"/>
    <w:rsid w:val="79DF005F"/>
    <w:rsid w:val="79E028EC"/>
    <w:rsid w:val="79F574FB"/>
    <w:rsid w:val="7A114E8A"/>
    <w:rsid w:val="7A1304C9"/>
    <w:rsid w:val="7A1C5B1C"/>
    <w:rsid w:val="7A4653BA"/>
    <w:rsid w:val="7A4D2D0C"/>
    <w:rsid w:val="7A623BC4"/>
    <w:rsid w:val="7A765EEC"/>
    <w:rsid w:val="7A790CA9"/>
    <w:rsid w:val="7AB83F1D"/>
    <w:rsid w:val="7ACA4FB3"/>
    <w:rsid w:val="7AD234FC"/>
    <w:rsid w:val="7ADF56A1"/>
    <w:rsid w:val="7AE2061C"/>
    <w:rsid w:val="7AFC3FF1"/>
    <w:rsid w:val="7B002131"/>
    <w:rsid w:val="7B063CF4"/>
    <w:rsid w:val="7B0864F6"/>
    <w:rsid w:val="7B1B16D3"/>
    <w:rsid w:val="7B2E6780"/>
    <w:rsid w:val="7B3D7D31"/>
    <w:rsid w:val="7B517AEE"/>
    <w:rsid w:val="7B56737A"/>
    <w:rsid w:val="7B5D217A"/>
    <w:rsid w:val="7B614801"/>
    <w:rsid w:val="7B674E23"/>
    <w:rsid w:val="7B684A54"/>
    <w:rsid w:val="7B724CBB"/>
    <w:rsid w:val="7B8F549D"/>
    <w:rsid w:val="7B913B86"/>
    <w:rsid w:val="7B922D07"/>
    <w:rsid w:val="7B97422A"/>
    <w:rsid w:val="7BA33BED"/>
    <w:rsid w:val="7BA969F0"/>
    <w:rsid w:val="7BB31B68"/>
    <w:rsid w:val="7BCB3FDA"/>
    <w:rsid w:val="7BE44FA6"/>
    <w:rsid w:val="7BEF6F31"/>
    <w:rsid w:val="7C071C5F"/>
    <w:rsid w:val="7C194469"/>
    <w:rsid w:val="7C1A2092"/>
    <w:rsid w:val="7C1A6CD5"/>
    <w:rsid w:val="7C1D1104"/>
    <w:rsid w:val="7C2216E0"/>
    <w:rsid w:val="7C2630F4"/>
    <w:rsid w:val="7C2841E1"/>
    <w:rsid w:val="7C3313AF"/>
    <w:rsid w:val="7C45471C"/>
    <w:rsid w:val="7C66172A"/>
    <w:rsid w:val="7C7A22AE"/>
    <w:rsid w:val="7C7C67BD"/>
    <w:rsid w:val="7C7E27D3"/>
    <w:rsid w:val="7C7F3629"/>
    <w:rsid w:val="7C805A27"/>
    <w:rsid w:val="7C8B7A6D"/>
    <w:rsid w:val="7C90110D"/>
    <w:rsid w:val="7C9170A6"/>
    <w:rsid w:val="7C9B6AF6"/>
    <w:rsid w:val="7C9F7A51"/>
    <w:rsid w:val="7CA34622"/>
    <w:rsid w:val="7CC2435F"/>
    <w:rsid w:val="7CCD381D"/>
    <w:rsid w:val="7D050DA4"/>
    <w:rsid w:val="7D0A1590"/>
    <w:rsid w:val="7D1117C5"/>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B4210"/>
    <w:rsid w:val="7DEE46EB"/>
    <w:rsid w:val="7DF46E1B"/>
    <w:rsid w:val="7E0464CE"/>
    <w:rsid w:val="7E1B7FF8"/>
    <w:rsid w:val="7E202324"/>
    <w:rsid w:val="7E2C2660"/>
    <w:rsid w:val="7E2D170A"/>
    <w:rsid w:val="7E336176"/>
    <w:rsid w:val="7E346BB8"/>
    <w:rsid w:val="7E3C5C68"/>
    <w:rsid w:val="7E3E6CB5"/>
    <w:rsid w:val="7E476D34"/>
    <w:rsid w:val="7E4D4FA1"/>
    <w:rsid w:val="7E5538D6"/>
    <w:rsid w:val="7E6326CB"/>
    <w:rsid w:val="7E6D6DAE"/>
    <w:rsid w:val="7E72462A"/>
    <w:rsid w:val="7E9B11AA"/>
    <w:rsid w:val="7E9B5AE8"/>
    <w:rsid w:val="7EA32AD0"/>
    <w:rsid w:val="7EC43972"/>
    <w:rsid w:val="7EC43FD1"/>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jc w:val="both"/>
    </w:pPr>
    <w:rPr>
      <w:rFonts w:ascii="Times New Roman" w:hAnsi="Times New Roman" w:eastAsia="宋体" w:cs="Times New Roman"/>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before="100" w:beforeLines="100" w:after="0" w:line="240" w:lineRule="auto"/>
      <w:outlineLvl w:val="0"/>
    </w:pPr>
    <w:rPr>
      <w:rFonts w:eastAsia="黑体"/>
      <w:b/>
      <w:bCs/>
      <w:sz w:val="30"/>
      <w:szCs w:val="30"/>
      <w:lang w:val="zh-CN"/>
    </w:rPr>
  </w:style>
  <w:style w:type="paragraph" w:styleId="3">
    <w:name w:val="heading 2"/>
    <w:basedOn w:val="2"/>
    <w:next w:val="1"/>
    <w:qFormat/>
    <w:uiPriority w:val="9"/>
    <w:pPr>
      <w:keepNext/>
      <w:keepLines/>
      <w:numPr>
        <w:ilvl w:val="1"/>
      </w:numPr>
      <w:spacing w:after="50"/>
      <w:outlineLvl w:val="1"/>
    </w:pPr>
    <w:rPr>
      <w:sz w:val="28"/>
    </w:rPr>
  </w:style>
  <w:style w:type="paragraph" w:styleId="4">
    <w:name w:val="heading 3"/>
    <w:basedOn w:val="3"/>
    <w:next w:val="1"/>
    <w:link w:val="37"/>
    <w:qFormat/>
    <w:uiPriority w:val="0"/>
    <w:pPr>
      <w:numPr>
        <w:ilvl w:val="2"/>
      </w:numPr>
      <w:tabs>
        <w:tab w:val="left" w:pos="720"/>
      </w:tabs>
      <w:spacing w:line="360" w:lineRule="auto"/>
      <w:outlineLvl w:val="2"/>
    </w:pPr>
    <w:rPr>
      <w:sz w:val="24"/>
      <w:szCs w:val="32"/>
    </w:rPr>
  </w:style>
  <w:style w:type="paragraph" w:styleId="5">
    <w:name w:val="heading 4"/>
    <w:basedOn w:val="4"/>
    <w:next w:val="1"/>
    <w:qFormat/>
    <w:uiPriority w:val="9"/>
    <w:pPr>
      <w:numPr>
        <w:ilvl w:val="3"/>
      </w:numPr>
      <w:outlineLvl w:val="3"/>
    </w:p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kern w:val="2"/>
      <w:sz w:val="21"/>
    </w:rPr>
  </w:style>
  <w:style w:type="paragraph" w:styleId="13">
    <w:name w:val="caption"/>
    <w:basedOn w:val="1"/>
    <w:next w:val="1"/>
    <w:link w:val="47"/>
    <w:qFormat/>
    <w:uiPriority w:val="0"/>
    <w:pPr>
      <w:tabs>
        <w:tab w:val="left" w:pos="1418"/>
      </w:tabs>
      <w:spacing w:before="120" w:after="120" w:line="240" w:lineRule="auto"/>
    </w:pPr>
    <w:rPr>
      <w:b/>
      <w:bCs/>
      <w:lang w:val="en-GB" w:eastAsia="sv-SE"/>
    </w:rPr>
  </w:style>
  <w:style w:type="paragraph" w:styleId="14">
    <w:name w:val="Document Map"/>
    <w:basedOn w:val="1"/>
    <w:link w:val="60"/>
    <w:unhideWhenUsed/>
    <w:qFormat/>
    <w:uiPriority w:val="99"/>
    <w:rPr>
      <w:rFonts w:ascii="宋体"/>
      <w:sz w:val="18"/>
      <w:szCs w:val="18"/>
    </w:rPr>
  </w:style>
  <w:style w:type="paragraph" w:styleId="15">
    <w:name w:val="annotation text"/>
    <w:basedOn w:val="1"/>
    <w:link w:val="52"/>
    <w:unhideWhenUsed/>
    <w:qFormat/>
    <w:uiPriority w:val="0"/>
  </w:style>
  <w:style w:type="paragraph" w:styleId="16">
    <w:name w:val="Body Text"/>
    <w:basedOn w:val="1"/>
    <w:link w:val="53"/>
    <w:qFormat/>
    <w:uiPriority w:val="0"/>
    <w:pPr>
      <w:widowControl w:val="0"/>
      <w:spacing w:after="0" w:line="240" w:lineRule="auto"/>
    </w:pPr>
    <w:rPr>
      <w:color w:val="0000FF"/>
      <w:kern w:val="2"/>
      <w:sz w:val="21"/>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6"/>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40"/>
    <w:semiHidden/>
    <w:qFormat/>
    <w:uiPriority w:val="0"/>
    <w:pPr>
      <w:spacing w:after="0" w:line="240" w:lineRule="auto"/>
    </w:pPr>
    <w:rPr>
      <w:rFonts w:ascii="Times" w:hAnsi="Times" w:eastAsia="Batang"/>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9"/>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Heading 1 Char"/>
    <w:link w:val="2"/>
    <w:qFormat/>
    <w:uiPriority w:val="99"/>
    <w:rPr>
      <w:rFonts w:ascii="Times New Roman" w:hAnsi="Times New Roman" w:eastAsia="黑体"/>
      <w:b/>
      <w:bCs/>
      <w:sz w:val="30"/>
      <w:szCs w:val="30"/>
      <w:lang w:val="zh-CN"/>
    </w:rPr>
  </w:style>
  <w:style w:type="character" w:customStyle="1" w:styleId="37">
    <w:name w:val="Heading 3 Char"/>
    <w:link w:val="4"/>
    <w:qFormat/>
    <w:uiPriority w:val="9"/>
    <w:rPr>
      <w:rFonts w:eastAsia="黑体"/>
      <w:b/>
      <w:bCs/>
      <w:sz w:val="24"/>
      <w:szCs w:val="32"/>
    </w:rPr>
  </w:style>
  <w:style w:type="character" w:customStyle="1" w:styleId="38">
    <w:name w:val="Header Char"/>
    <w:link w:val="20"/>
    <w:qFormat/>
    <w:uiPriority w:val="0"/>
    <w:rPr>
      <w:rFonts w:ascii="Arial" w:hAnsi="Arial" w:eastAsia="MS Mincho"/>
      <w:b/>
      <w:szCs w:val="24"/>
      <w:lang w:eastAsia="en-US"/>
    </w:rPr>
  </w:style>
  <w:style w:type="character" w:customStyle="1" w:styleId="39">
    <w:name w:val="Comment Subject Char"/>
    <w:link w:val="24"/>
    <w:semiHidden/>
    <w:qFormat/>
    <w:uiPriority w:val="99"/>
    <w:rPr>
      <w:b/>
      <w:bCs/>
    </w:rPr>
  </w:style>
  <w:style w:type="character" w:customStyle="1" w:styleId="40">
    <w:name w:val="Footnote Text Char"/>
    <w:link w:val="22"/>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link w:val="126"/>
    <w:qFormat/>
    <w:uiPriority w:val="0"/>
    <w:pPr>
      <w:keepNext/>
      <w:keepLines/>
      <w:spacing w:after="0" w:line="240" w:lineRule="auto"/>
    </w:pPr>
    <w:rPr>
      <w:rFonts w:ascii="Arial" w:hAnsi="Arial"/>
      <w:sz w:val="18"/>
      <w:lang w:val="en-GB" w:eastAsia="en-US"/>
    </w:rPr>
  </w:style>
  <w:style w:type="character" w:customStyle="1" w:styleId="46">
    <w:name w:val="apple-converted-space"/>
    <w:basedOn w:val="28"/>
    <w:qFormat/>
    <w:uiPriority w:val="0"/>
  </w:style>
  <w:style w:type="character" w:customStyle="1" w:styleId="47">
    <w:name w:val="Caption Char"/>
    <w:link w:val="13"/>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21"/>
    <w:link w:val="48"/>
    <w:qFormat/>
    <w:uiPriority w:val="0"/>
    <w:pPr>
      <w:spacing w:after="180" w:line="240" w:lineRule="auto"/>
      <w:ind w:left="568" w:hanging="284" w:firstLineChars="0"/>
    </w:pPr>
    <w:rPr>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ind w:firstLine="200" w:firstLineChars="200"/>
    </w:pPr>
    <w:rPr>
      <w:rFonts w:eastAsia="Malgun Gothic"/>
      <w:lang w:val="en-GB" w:eastAsia="ko-KR"/>
    </w:rPr>
  </w:style>
  <w:style w:type="character" w:customStyle="1" w:styleId="52">
    <w:name w:val="Comment Text Char"/>
    <w:basedOn w:val="28"/>
    <w:link w:val="15"/>
    <w:qFormat/>
    <w:uiPriority w:val="0"/>
  </w:style>
  <w:style w:type="character" w:customStyle="1" w:styleId="53">
    <w:name w:val="Body Text Char"/>
    <w:link w:val="16"/>
    <w:qFormat/>
    <w:uiPriority w:val="0"/>
    <w:rPr>
      <w:rFonts w:ascii="Times New Roman" w:hAnsi="Times New Roman"/>
      <w:color w:val="0000FF"/>
      <w:kern w:val="2"/>
      <w:sz w:val="21"/>
    </w:rPr>
  </w:style>
  <w:style w:type="character" w:customStyle="1" w:styleId="54">
    <w:name w:val="def"/>
    <w:basedOn w:val="28"/>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Balloon Text Char"/>
    <w:link w:val="18"/>
    <w:semiHidden/>
    <w:qFormat/>
    <w:uiPriority w:val="99"/>
    <w:rPr>
      <w:rFonts w:ascii="Tahoma" w:hAnsi="Tahoma" w:cs="Tahoma"/>
      <w:sz w:val="16"/>
      <w:szCs w:val="16"/>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pPr>
    <w:rPr>
      <w:rFonts w:eastAsia="Malgun Gothic"/>
      <w:lang w:val="en-GB" w:eastAsia="ko-KR"/>
    </w:rPr>
  </w:style>
  <w:style w:type="character" w:customStyle="1" w:styleId="59">
    <w:name w:val="word"/>
    <w:basedOn w:val="28"/>
    <w:qFormat/>
    <w:uiPriority w:val="0"/>
  </w:style>
  <w:style w:type="character" w:customStyle="1" w:styleId="60">
    <w:name w:val="Document Map Char"/>
    <w:link w:val="14"/>
    <w:semiHidden/>
    <w:qFormat/>
    <w:uiPriority w:val="99"/>
    <w:rPr>
      <w:rFonts w:ascii="宋体"/>
      <w:sz w:val="18"/>
      <w:szCs w:val="18"/>
    </w:rPr>
  </w:style>
  <w:style w:type="character" w:customStyle="1" w:styleId="61">
    <w:name w:val="high-light"/>
    <w:basedOn w:val="28"/>
    <w:qFormat/>
    <w:uiPriority w:val="0"/>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4"/>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style>
  <w:style w:type="paragraph" w:customStyle="1" w:styleId="68">
    <w:name w:val="PaperTableCell"/>
    <w:basedOn w:val="1"/>
    <w:qFormat/>
    <w:uiPriority w:val="0"/>
    <w:pPr>
      <w:spacing w:after="0" w:line="240" w:lineRule="auto"/>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pPr>
    <w:rPr>
      <w:rFonts w:eastAsia="Batang"/>
      <w:b/>
      <w:snapToGrid w:val="0"/>
      <w:sz w:val="28"/>
      <w:lang w:val="en-GB" w:eastAsia="ko-KR"/>
    </w:rPr>
  </w:style>
  <w:style w:type="paragraph" w:customStyle="1" w:styleId="81">
    <w:name w:val="表格文字居左"/>
    <w:basedOn w:val="1"/>
    <w:next w:val="1"/>
    <w:qFormat/>
    <w:uiPriority w:val="0"/>
    <w:pPr>
      <w:widowControl w:val="0"/>
      <w:spacing w:after="0" w:line="240" w:lineRule="auto"/>
    </w:pPr>
    <w:rPr>
      <w:rFonts w:ascii="Arial" w:hAnsi="Arial" w:cs="宋体"/>
      <w:kern w:val="2"/>
      <w:sz w:val="21"/>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textAlignment w:val="baseline"/>
    </w:pPr>
    <w:rPr>
      <w:sz w:val="24"/>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pPr>
    <w:rPr>
      <w:rFonts w:ascii="Arial" w:hAnsi="Arial"/>
      <w:b/>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line="240" w:lineRule="auto"/>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ind w:firstLine="360"/>
    </w:pPr>
    <w:rPr>
      <w:rFonts w:eastAsia="Malgun Gothic" w:cs="Batang"/>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1"/>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List Paragraph3"/>
    <w:basedOn w:val="1"/>
    <w:qFormat/>
    <w:uiPriority w:val="99"/>
    <w:pPr>
      <w:ind w:firstLine="420" w:firstLineChars="200"/>
    </w:pPr>
  </w:style>
  <w:style w:type="paragraph" w:customStyle="1" w:styleId="110">
    <w:name w:val="B3"/>
    <w:basedOn w:val="11"/>
    <w:qFormat/>
    <w:uiPriority w:val="0"/>
    <w:pPr>
      <w:spacing w:after="180" w:line="240" w:lineRule="auto"/>
      <w:ind w:left="1135" w:leftChars="0" w:hanging="284" w:firstLineChars="0"/>
      <w:contextualSpacing w:val="0"/>
    </w:pPr>
    <w:rPr>
      <w:rFonts w:eastAsia="MS Mincho"/>
      <w:lang w:val="en-GB" w:eastAsia="en-US"/>
    </w:rPr>
  </w:style>
  <w:style w:type="paragraph" w:customStyle="1" w:styleId="111">
    <w:name w:val="B2"/>
    <w:basedOn w:val="17"/>
    <w:qFormat/>
    <w:uiPriority w:val="0"/>
    <w:pPr>
      <w:ind w:left="851" w:hanging="284"/>
    </w:pPr>
    <w:rPr>
      <w:lang w:val="zh-CN"/>
    </w:rPr>
  </w:style>
  <w:style w:type="paragraph" w:customStyle="1" w:styleId="112">
    <w:name w:val="B4"/>
    <w:basedOn w:val="1"/>
    <w:qFormat/>
    <w:uiPriority w:val="0"/>
    <w:pPr>
      <w:ind w:left="1418" w:hanging="284"/>
    </w:pPr>
  </w:style>
  <w:style w:type="paragraph" w:customStyle="1" w:styleId="113">
    <w:name w:val="TAN"/>
    <w:basedOn w:val="45"/>
    <w:qFormat/>
    <w:uiPriority w:val="0"/>
    <w:pPr>
      <w:ind w:left="851" w:hanging="851"/>
    </w:pPr>
  </w:style>
  <w:style w:type="paragraph" w:customStyle="1" w:styleId="114">
    <w:name w:val="References"/>
    <w:basedOn w:val="1"/>
    <w:qFormat/>
    <w:uiPriority w:val="0"/>
    <w:pPr>
      <w:numPr>
        <w:ilvl w:val="0"/>
        <w:numId w:val="5"/>
      </w:numPr>
      <w:snapToGrid w:val="0"/>
      <w:spacing w:after="60"/>
    </w:pPr>
    <w:rPr>
      <w:szCs w:val="16"/>
    </w:rPr>
  </w:style>
  <w:style w:type="paragraph" w:customStyle="1" w:styleId="115">
    <w:name w:val="03_Proposal"/>
    <w:basedOn w:val="116"/>
    <w:qFormat/>
    <w:uiPriority w:val="0"/>
    <w:rPr>
      <w:b/>
      <w:i w:val="0"/>
      <w:iCs w:val="0"/>
    </w:rPr>
  </w:style>
  <w:style w:type="paragraph" w:customStyle="1" w:styleId="116">
    <w:name w:val="04_Proposal1"/>
    <w:basedOn w:val="1"/>
    <w:qFormat/>
    <w:uiPriority w:val="0"/>
    <w:rPr>
      <w:bCs/>
      <w:i/>
      <w:iCs/>
    </w:rPr>
  </w:style>
  <w:style w:type="paragraph" w:customStyle="1" w:styleId="117">
    <w:name w:val="List Paragraph4"/>
    <w:basedOn w:val="1"/>
    <w:qFormat/>
    <w:uiPriority w:val="34"/>
    <w:pPr>
      <w:ind w:left="720"/>
      <w:contextualSpacing/>
    </w:pPr>
  </w:style>
  <w:style w:type="paragraph" w:customStyle="1" w:styleId="118">
    <w:name w:val="Reference"/>
    <w:basedOn w:val="16"/>
    <w:qFormat/>
    <w:uiPriority w:val="0"/>
    <w:pPr>
      <w:numPr>
        <w:ilvl w:val="0"/>
        <w:numId w:val="6"/>
      </w:numPr>
      <w:spacing w:after="50"/>
    </w:pPr>
    <w:rPr>
      <w:color w:val="000000" w:themeColor="text1"/>
      <w14:textFill>
        <w14:solidFill>
          <w14:schemeClr w14:val="tx1"/>
        </w14:solidFill>
      </w14:textFill>
    </w:rPr>
  </w:style>
  <w:style w:type="paragraph" w:customStyle="1" w:styleId="119">
    <w:name w:val="List Paragraph5"/>
    <w:basedOn w:val="1"/>
    <w:qFormat/>
    <w:uiPriority w:val="34"/>
    <w:pPr>
      <w:ind w:firstLine="420" w:firstLineChars="200"/>
    </w:pPr>
  </w:style>
  <w:style w:type="paragraph" w:customStyle="1" w:styleId="120">
    <w:name w:val="PatApp Body"/>
    <w:basedOn w:val="1"/>
    <w:qFormat/>
    <w:uiPriority w:val="0"/>
    <w:pPr>
      <w:numPr>
        <w:ilvl w:val="0"/>
        <w:numId w:val="7"/>
      </w:numPr>
      <w:tabs>
        <w:tab w:val="left" w:pos="1080"/>
        <w:tab w:val="clear" w:pos="8640"/>
      </w:tabs>
      <w:spacing w:after="240"/>
      <w:ind w:left="0"/>
    </w:pPr>
    <w:rPr>
      <w:rFonts w:eastAsia="Times New Roman"/>
      <w:snapToGrid w:val="0"/>
      <w:lang w:eastAsia="en-US"/>
    </w:rPr>
  </w:style>
  <w:style w:type="character" w:customStyle="1" w:styleId="121">
    <w:name w:val="Caption Char1"/>
    <w:qFormat/>
    <w:uiPriority w:val="0"/>
    <w:rPr>
      <w:rFonts w:ascii="Times New Roman" w:hAnsi="Times New Roman"/>
      <w:b/>
      <w:bCs/>
      <w:lang w:val="en-GB" w:eastAsia="sv-SE"/>
    </w:rPr>
  </w:style>
  <w:style w:type="paragraph" w:customStyle="1" w:styleId="122">
    <w:name w:val="列出段落2"/>
    <w:basedOn w:val="1"/>
    <w:qFormat/>
    <w:uiPriority w:val="34"/>
    <w:pPr>
      <w:ind w:firstLine="420" w:firstLineChars="200"/>
    </w:pPr>
  </w:style>
  <w:style w:type="paragraph" w:customStyle="1" w:styleId="123">
    <w:name w:val="List Paragraph6"/>
    <w:basedOn w:val="1"/>
    <w:qFormat/>
    <w:uiPriority w:val="34"/>
    <w:pPr>
      <w:ind w:firstLine="420" w:firstLineChars="200"/>
    </w:pPr>
  </w:style>
  <w:style w:type="paragraph" w:customStyle="1" w:styleId="124">
    <w:name w:val="List Paragraph7"/>
    <w:basedOn w:val="1"/>
    <w:qFormat/>
    <w:uiPriority w:val="99"/>
    <w:pPr>
      <w:ind w:firstLine="420" w:firstLineChars="200"/>
    </w:pPr>
  </w:style>
  <w:style w:type="paragraph" w:customStyle="1" w:styleId="125">
    <w:name w:val="Revision1"/>
    <w:hidden/>
    <w:semiHidden/>
    <w:qFormat/>
    <w:uiPriority w:val="99"/>
    <w:pPr>
      <w:spacing w:after="160" w:line="259" w:lineRule="auto"/>
    </w:pPr>
    <w:rPr>
      <w:rFonts w:ascii="Times New Roman" w:hAnsi="Times New Roman" w:eastAsia="宋体" w:cs="Times New Roman"/>
      <w:lang w:val="en-US" w:eastAsia="zh-CN" w:bidi="ar-SA"/>
    </w:rPr>
  </w:style>
  <w:style w:type="character" w:customStyle="1" w:styleId="126">
    <w:name w:val="TAL Char"/>
    <w:link w:val="45"/>
    <w:qFormat/>
    <w:locked/>
    <w:uiPriority w:val="0"/>
    <w:rPr>
      <w:rFonts w:ascii="Arial" w:hAnsi="Arial"/>
      <w:sz w:val="18"/>
      <w:lang w:val="en-GB" w:eastAsia="en-US"/>
    </w:rPr>
  </w:style>
  <w:style w:type="paragraph" w:customStyle="1" w:styleId="127">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8">
    <w:name w:val="tal"/>
    <w:basedOn w:val="1"/>
    <w:qFormat/>
    <w:uiPriority w:val="0"/>
    <w:pPr>
      <w:keepNext/>
      <w:spacing w:after="0" w:afterLines="0" w:line="240" w:lineRule="auto"/>
      <w:jc w:val="left"/>
    </w:pPr>
    <w:rPr>
      <w:rFonts w:ascii="Arial" w:hAnsi="Arial" w:eastAsia="Gulim" w:cs="Arial"/>
      <w:sz w:val="18"/>
      <w:szCs w:val="18"/>
      <w:lang w:eastAsia="ko-KR"/>
    </w:rPr>
  </w:style>
  <w:style w:type="paragraph" w:styleId="129">
    <w:name w:val="List Paragraph"/>
    <w:basedOn w:val="1"/>
    <w:qFormat/>
    <w:uiPriority w:val="99"/>
    <w:pPr>
      <w:ind w:left="720"/>
      <w:contextualSpacing/>
    </w:pPr>
  </w:style>
  <w:style w:type="paragraph" w:customStyle="1" w:styleId="130">
    <w:name w:val="Revision2"/>
    <w:hidden/>
    <w:semiHidden/>
    <w:qFormat/>
    <w:uiPriority w:val="99"/>
    <w:pPr>
      <w:spacing w:after="160" w:line="259" w:lineRule="auto"/>
    </w:pPr>
    <w:rPr>
      <w:rFonts w:ascii="Times New Roman" w:hAnsi="Times New Roman" w:eastAsia="宋体" w:cs="Times New Roman"/>
      <w:lang w:val="en-US" w:eastAsia="zh-CN" w:bidi="ar-SA"/>
    </w:rPr>
  </w:style>
  <w:style w:type="paragraph" w:customStyle="1" w:styleId="131">
    <w:name w:val="x_xxmsonormal"/>
    <w:basedOn w:val="1"/>
    <w:qFormat/>
    <w:uiPriority w:val="99"/>
    <w:rPr>
      <w:rFonts w:eastAsia="Malgun Gothic"/>
      <w:sz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png"/><Relationship Id="rId17" Type="http://schemas.openxmlformats.org/officeDocument/2006/relationships/image" Target="media/image5.emf"/><Relationship Id="rId16" Type="http://schemas.openxmlformats.org/officeDocument/2006/relationships/oleObject" Target="embeddings/oleObject3.bin"/><Relationship Id="rId15" Type="http://schemas.openxmlformats.org/officeDocument/2006/relationships/image" Target="media/image4.png"/><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9648C-B095-46AE-9EE7-EB40F812BA52}">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16</Pages>
  <Words>5714</Words>
  <Characters>32575</Characters>
  <Lines>271</Lines>
  <Paragraphs>76</Paragraphs>
  <TotalTime>71</TotalTime>
  <ScaleCrop>false</ScaleCrop>
  <LinksUpToDate>false</LinksUpToDate>
  <CharactersWithSpaces>38213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2020-10-23T14:51:00Z</dcterms:created>
  <dc:creator>ZTE</dc:creator>
  <cp:lastModifiedBy>Zhangshujuan</cp:lastModifiedBy>
  <dcterms:modified xsi:type="dcterms:W3CDTF">2021-11-05T07:55:37Z</dcterms:modified>
  <dc:title>3GPP TSG-RAN WG1</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